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6" w:lineRule="exact"/>
        <w:jc w:val="left"/>
        <w:rPr>
          <w:rFonts w:hint="default" w:ascii="方正小标宋简体" w:eastAsia="方正小标宋简体"/>
          <w:sz w:val="30"/>
          <w:szCs w:val="30"/>
          <w:lang w:val="en-US" w:eastAsia="zh-CN"/>
        </w:rPr>
      </w:pPr>
      <w:r>
        <w:rPr>
          <w:rFonts w:hint="eastAsia" w:ascii="方正小标宋简体" w:eastAsia="方正小标宋简体"/>
          <w:sz w:val="30"/>
          <w:szCs w:val="30"/>
          <w:lang w:val="en-US" w:eastAsia="zh-CN"/>
        </w:rPr>
        <w:t>附件1</w:t>
      </w:r>
    </w:p>
    <w:p>
      <w:pPr>
        <w:spacing w:line="576" w:lineRule="exact"/>
        <w:jc w:val="center"/>
        <w:rPr>
          <w:rFonts w:ascii="方正小标宋简体" w:eastAsia="方正小标宋简体"/>
          <w:sz w:val="44"/>
          <w:szCs w:val="52"/>
        </w:rPr>
      </w:pPr>
      <w:r>
        <w:rPr>
          <w:rFonts w:hint="eastAsia" w:ascii="方正小标宋简体" w:eastAsia="方正小标宋简体"/>
          <w:sz w:val="44"/>
          <w:szCs w:val="52"/>
        </w:rPr>
        <w:t>张家川县自然资源局土地收购储备中心</w:t>
      </w:r>
    </w:p>
    <w:p>
      <w:pPr>
        <w:spacing w:line="576" w:lineRule="exact"/>
        <w:jc w:val="center"/>
        <w:rPr>
          <w:rFonts w:ascii="方正小标宋简体" w:eastAsia="方正小标宋简体"/>
          <w:sz w:val="44"/>
          <w:szCs w:val="52"/>
        </w:rPr>
      </w:pPr>
      <w:r>
        <w:rPr>
          <w:rFonts w:hint="eastAsia" w:ascii="方正小标宋简体" w:eastAsia="方正小标宋简体"/>
          <w:sz w:val="44"/>
          <w:szCs w:val="52"/>
        </w:rPr>
        <w:t>关于</w:t>
      </w:r>
      <w:bookmarkStart w:id="0" w:name="OLE_LINK10"/>
      <w:bookmarkStart w:id="1" w:name="OLE_LINK9"/>
      <w:r>
        <w:rPr>
          <w:rFonts w:hint="eastAsia" w:ascii="方正小标宋简体" w:eastAsia="方正小标宋简体"/>
          <w:sz w:val="44"/>
          <w:szCs w:val="52"/>
        </w:rPr>
        <w:t>重大项目征地补偿</w:t>
      </w:r>
      <w:bookmarkEnd w:id="0"/>
      <w:bookmarkEnd w:id="1"/>
      <w:r>
        <w:rPr>
          <w:rFonts w:hint="eastAsia" w:ascii="方正小标宋简体" w:eastAsia="方正小标宋简体"/>
          <w:sz w:val="44"/>
          <w:szCs w:val="52"/>
        </w:rPr>
        <w:t>资金的项目</w:t>
      </w:r>
    </w:p>
    <w:p>
      <w:pPr>
        <w:spacing w:line="576" w:lineRule="exact"/>
        <w:jc w:val="center"/>
        <w:rPr>
          <w:rFonts w:ascii="方正小标宋简体" w:eastAsia="方正小标宋简体"/>
          <w:sz w:val="44"/>
          <w:szCs w:val="52"/>
        </w:rPr>
      </w:pPr>
      <w:r>
        <w:rPr>
          <w:rFonts w:hint="eastAsia" w:ascii="方正小标宋简体" w:eastAsia="方正小标宋简体"/>
          <w:sz w:val="44"/>
          <w:szCs w:val="52"/>
        </w:rPr>
        <w:t>绩效自评报告</w:t>
      </w:r>
    </w:p>
    <w:p>
      <w:pPr>
        <w:overflowPunct w:val="0"/>
        <w:spacing w:line="680" w:lineRule="exact"/>
        <w:ind w:firstLine="640" w:firstLineChars="200"/>
        <w:rPr>
          <w:rFonts w:ascii="黑体" w:hAnsi="黑体" w:eastAsia="黑体"/>
          <w:bCs/>
          <w:sz w:val="32"/>
          <w:szCs w:val="32"/>
        </w:rPr>
      </w:pPr>
      <w:r>
        <w:rPr>
          <w:rFonts w:ascii="黑体" w:hAnsi="黑体" w:eastAsia="黑体"/>
          <w:bCs/>
          <w:sz w:val="32"/>
          <w:szCs w:val="32"/>
        </w:rPr>
        <w:t>一、项目基本情况</w:t>
      </w:r>
      <w:bookmarkStart w:id="8" w:name="_GoBack"/>
      <w:bookmarkEnd w:id="8"/>
    </w:p>
    <w:p>
      <w:pPr>
        <w:widowControl/>
        <w:spacing w:line="680" w:lineRule="exact"/>
        <w:ind w:firstLine="640" w:firstLineChars="200"/>
        <w:rPr>
          <w:rFonts w:ascii="楷体" w:hAnsi="楷体" w:eastAsia="楷体"/>
          <w:sz w:val="32"/>
          <w:szCs w:val="32"/>
        </w:rPr>
      </w:pPr>
      <w:r>
        <w:rPr>
          <w:rFonts w:ascii="楷体" w:hAnsi="楷体" w:eastAsia="楷体"/>
          <w:sz w:val="32"/>
          <w:szCs w:val="32"/>
        </w:rPr>
        <w:t>（一）项目概况。</w:t>
      </w:r>
      <w:bookmarkStart w:id="2" w:name="OLE_LINK1"/>
      <w:bookmarkStart w:id="3" w:name="OLE_LINK2"/>
    </w:p>
    <w:p>
      <w:pPr>
        <w:widowControl/>
        <w:spacing w:line="680" w:lineRule="exact"/>
        <w:ind w:firstLine="616" w:firstLineChars="200"/>
        <w:rPr>
          <w:rFonts w:eastAsia="仿宋_GB2312"/>
          <w:color w:val="000000" w:themeColor="text1"/>
          <w:sz w:val="32"/>
          <w:szCs w:val="32"/>
        </w:rPr>
      </w:pPr>
      <w:r>
        <w:rPr>
          <w:rFonts w:hint="eastAsia" w:ascii="仿宋_GB2312" w:hAnsi="仿宋" w:eastAsia="仿宋_GB2312" w:cs="宋体"/>
          <w:color w:val="333333"/>
          <w:spacing w:val="-6"/>
          <w:kern w:val="0"/>
          <w:sz w:val="32"/>
          <w:szCs w:val="32"/>
        </w:rPr>
        <w:t>为保障全县重点投资重大建设重大前期项目建设，强化土地要素保障，助推县域经济高质量发展，确保项目按期开工。根据近年来我县发布的各重大项目征地补偿安置方案的公告，</w:t>
      </w:r>
      <w:r>
        <w:rPr>
          <w:rFonts w:hint="eastAsia" w:eastAsia="仿宋_GB2312"/>
          <w:color w:val="000000"/>
          <w:kern w:val="0"/>
          <w:sz w:val="31"/>
          <w:szCs w:val="31"/>
        </w:rPr>
        <w:t>本次征收土地用于</w:t>
      </w:r>
      <w:r>
        <w:rPr>
          <w:rFonts w:hint="eastAsia" w:ascii="仿宋_GB2312" w:eastAsia="仿宋_GB2312"/>
          <w:sz w:val="32"/>
          <w:szCs w:val="32"/>
        </w:rPr>
        <w:t>我县重大项目征地补偿使用</w:t>
      </w:r>
      <w:r>
        <w:rPr>
          <w:rFonts w:hint="eastAsia" w:eastAsia="仿宋_GB2312"/>
          <w:sz w:val="32"/>
          <w:szCs w:val="32"/>
        </w:rPr>
        <w:t>。</w:t>
      </w:r>
      <w:r>
        <w:rPr>
          <w:rFonts w:hint="eastAsia" w:eastAsia="仿宋_GB2312"/>
          <w:color w:val="000000" w:themeColor="text1"/>
          <w:sz w:val="32"/>
          <w:szCs w:val="32"/>
        </w:rPr>
        <w:t>依据</w:t>
      </w:r>
      <w:r>
        <w:rPr>
          <w:rFonts w:hint="eastAsia" w:eastAsia="仿宋_GB2312"/>
          <w:sz w:val="32"/>
          <w:szCs w:val="32"/>
        </w:rPr>
        <w:t>天水市人民政府《关于张家川回族自治县国土空间总体规划（</w:t>
      </w:r>
      <w:r>
        <w:rPr>
          <w:rFonts w:eastAsia="仿宋_GB2312"/>
          <w:sz w:val="32"/>
          <w:szCs w:val="32"/>
        </w:rPr>
        <w:t>2021-2035</w:t>
      </w:r>
      <w:r>
        <w:rPr>
          <w:rFonts w:hint="eastAsia" w:eastAsia="仿宋_GB2312"/>
          <w:sz w:val="32"/>
          <w:szCs w:val="32"/>
        </w:rPr>
        <w:t>年）的批复》（天政函〔</w:t>
      </w:r>
      <w:r>
        <w:rPr>
          <w:rFonts w:eastAsia="仿宋_GB2312"/>
          <w:sz w:val="32"/>
          <w:szCs w:val="32"/>
        </w:rPr>
        <w:t>2024</w:t>
      </w:r>
      <w:r>
        <w:rPr>
          <w:rFonts w:hint="eastAsia" w:eastAsia="仿宋_GB2312"/>
          <w:sz w:val="32"/>
          <w:szCs w:val="32"/>
        </w:rPr>
        <w:t>〕</w:t>
      </w:r>
      <w:r>
        <w:rPr>
          <w:rFonts w:eastAsia="仿宋_GB2312"/>
          <w:sz w:val="32"/>
          <w:szCs w:val="32"/>
        </w:rPr>
        <w:t>34</w:t>
      </w:r>
      <w:r>
        <w:rPr>
          <w:rFonts w:hint="eastAsia" w:eastAsia="仿宋_GB2312"/>
          <w:sz w:val="32"/>
          <w:szCs w:val="32"/>
        </w:rPr>
        <w:t>号）</w:t>
      </w:r>
      <w:r>
        <w:rPr>
          <w:rFonts w:hint="eastAsia" w:eastAsia="仿宋_GB2312"/>
          <w:color w:val="000000" w:themeColor="text1"/>
          <w:sz w:val="32"/>
          <w:szCs w:val="32"/>
        </w:rPr>
        <w:t>。依据《中华人民共和国土地管理法》《中华人民共和国土地管理法实施条例》，该项目符合《中华人民共和国土地管理法》第四十五条规定的征收农民集体土地情形。</w:t>
      </w:r>
      <w:bookmarkEnd w:id="2"/>
      <w:bookmarkEnd w:id="3"/>
    </w:p>
    <w:p>
      <w:pPr>
        <w:spacing w:line="680" w:lineRule="exact"/>
        <w:ind w:firstLine="320" w:firstLineChars="100"/>
        <w:rPr>
          <w:rFonts w:ascii="楷体" w:hAnsi="楷体" w:eastAsia="楷体"/>
          <w:sz w:val="32"/>
          <w:szCs w:val="32"/>
        </w:rPr>
      </w:pPr>
      <w:r>
        <w:rPr>
          <w:rFonts w:ascii="楷体" w:hAnsi="楷体" w:eastAsia="楷体"/>
          <w:sz w:val="32"/>
          <w:szCs w:val="32"/>
        </w:rPr>
        <w:t>（二）项目绩效目标情况。</w:t>
      </w:r>
    </w:p>
    <w:p>
      <w:pPr>
        <w:spacing w:line="680" w:lineRule="exact"/>
        <w:rPr>
          <w:rFonts w:ascii="仿宋_GB2312" w:hAnsi="仿宋" w:eastAsia="仿宋_GB2312" w:cs="仿宋"/>
          <w:sz w:val="32"/>
          <w:szCs w:val="32"/>
        </w:rPr>
      </w:pPr>
      <w:r>
        <w:rPr>
          <w:rFonts w:hint="eastAsia" w:ascii="仿宋_GB2312" w:hAnsi="仿宋" w:eastAsia="仿宋_GB2312" w:cs="仿宋"/>
          <w:sz w:val="32"/>
          <w:szCs w:val="32"/>
        </w:rPr>
        <w:t>　 2.项目资金执行情况</w:t>
      </w:r>
    </w:p>
    <w:p>
      <w:pPr>
        <w:spacing w:line="680" w:lineRule="exact"/>
        <w:ind w:firstLine="570"/>
        <w:rPr>
          <w:rFonts w:ascii="仿宋_GB2312" w:hAnsi="仿宋" w:eastAsia="仿宋_GB2312" w:cs="仿宋"/>
          <w:sz w:val="32"/>
          <w:szCs w:val="32"/>
        </w:rPr>
      </w:pPr>
      <w:r>
        <w:rPr>
          <w:rFonts w:hint="eastAsia" w:ascii="仿宋_GB2312" w:hAnsi="仿宋" w:eastAsia="仿宋_GB2312" w:cs="仿宋"/>
          <w:sz w:val="32"/>
          <w:szCs w:val="32"/>
        </w:rPr>
        <w:t>2024年县财政下达各项指标及任务。张家川县土地收购储备中心进行整体支出绩效评价，判断其资金使用的经济性、效率性等，明确资金使用中存在的风险，并提出合理建议。绩效评价原则、依据、指标体系和方法：在绩效评价过程中中旬科学规范、公正公开、分级风累类、绩效相关原则，按照相关绩效评价文件的要求，分析比较、逻辑判断等方式，并结合本单位的具体情况，进行整体绩效评价。评价指标体系分别为投入管理指标、效益指标、产出指标、群众满意度指标等。</w:t>
      </w:r>
    </w:p>
    <w:p>
      <w:pPr>
        <w:overflowPunct w:val="0"/>
        <w:spacing w:line="680" w:lineRule="exact"/>
        <w:ind w:firstLine="640" w:firstLineChars="200"/>
        <w:rPr>
          <w:rFonts w:ascii="楷体" w:hAnsi="楷体" w:eastAsia="楷体"/>
          <w:sz w:val="32"/>
          <w:szCs w:val="32"/>
        </w:rPr>
      </w:pPr>
      <w:r>
        <w:rPr>
          <w:rFonts w:ascii="楷体" w:hAnsi="楷体" w:eastAsia="楷体"/>
          <w:sz w:val="32"/>
          <w:szCs w:val="32"/>
        </w:rPr>
        <w:t>（三）项目预算执行情况。</w:t>
      </w:r>
    </w:p>
    <w:p>
      <w:pPr>
        <w:spacing w:line="680" w:lineRule="exact"/>
        <w:ind w:firstLine="480" w:firstLineChars="150"/>
        <w:rPr>
          <w:rFonts w:ascii="仿宋_GB2312" w:hAnsi="仿宋" w:eastAsia="仿宋_GB2312" w:cs="仿宋"/>
          <w:sz w:val="32"/>
          <w:szCs w:val="32"/>
        </w:rPr>
      </w:pPr>
      <w:r>
        <w:rPr>
          <w:rFonts w:hint="eastAsia" w:ascii="仿宋_GB2312" w:hAnsi="仿宋" w:eastAsia="仿宋_GB2312" w:cs="仿宋"/>
          <w:sz w:val="32"/>
          <w:szCs w:val="32"/>
        </w:rPr>
        <w:t>1.项目资金到位情况分析</w:t>
      </w:r>
    </w:p>
    <w:p>
      <w:pPr>
        <w:spacing w:line="680" w:lineRule="exact"/>
        <w:rPr>
          <w:rFonts w:ascii="仿宋_GB2312" w:hAnsi="仿宋" w:eastAsia="仿宋_GB2312" w:cs="仿宋"/>
          <w:sz w:val="32"/>
          <w:szCs w:val="32"/>
        </w:rPr>
      </w:pPr>
      <w:r>
        <w:rPr>
          <w:rFonts w:hint="eastAsia" w:ascii="仿宋_GB2312" w:hAnsi="仿宋" w:eastAsia="仿宋_GB2312" w:cs="仿宋"/>
          <w:sz w:val="32"/>
          <w:szCs w:val="32"/>
        </w:rPr>
        <w:t>　　2024年县财政预算安排征地补偿资金</w:t>
      </w:r>
      <w:bookmarkStart w:id="4" w:name="OLE_LINK12"/>
      <w:bookmarkStart w:id="5" w:name="OLE_LINK13"/>
      <w:r>
        <w:rPr>
          <w:rFonts w:hint="eastAsia" w:ascii="仿宋_GB2312" w:hAnsi="仿宋_GB2312" w:eastAsia="仿宋_GB2312" w:cs="仿宋_GB2312"/>
          <w:bCs/>
          <w:color w:val="000000"/>
          <w:kern w:val="0"/>
          <w:sz w:val="32"/>
          <w:szCs w:val="32"/>
        </w:rPr>
        <w:t>500万元</w:t>
      </w:r>
      <w:bookmarkEnd w:id="4"/>
      <w:bookmarkEnd w:id="5"/>
      <w:r>
        <w:rPr>
          <w:rFonts w:hint="eastAsia" w:ascii="仿宋_GB2312" w:hAnsi="仿宋_GB2312" w:eastAsia="仿宋_GB2312" w:cs="仿宋_GB2312"/>
          <w:bCs/>
          <w:color w:val="000000"/>
          <w:kern w:val="0"/>
          <w:sz w:val="32"/>
          <w:szCs w:val="32"/>
        </w:rPr>
        <w:t>，主要用于</w:t>
      </w:r>
      <w:r>
        <w:rPr>
          <w:rFonts w:hint="eastAsia" w:ascii="仿宋_GB2312" w:hAnsi="仿宋" w:eastAsia="仿宋_GB2312" w:cs="仿宋"/>
          <w:sz w:val="32"/>
          <w:szCs w:val="32"/>
        </w:rPr>
        <w:t>我县重大项目征地补偿</w:t>
      </w:r>
      <w:r>
        <w:rPr>
          <w:rFonts w:hint="eastAsia" w:ascii="仿宋_GB2312" w:hAnsi="仿宋_GB2312" w:eastAsia="仿宋_GB2312" w:cs="仿宋_GB2312"/>
          <w:bCs/>
          <w:color w:val="000000"/>
          <w:kern w:val="0"/>
          <w:sz w:val="32"/>
          <w:szCs w:val="32"/>
        </w:rPr>
        <w:t>使用。</w:t>
      </w:r>
    </w:p>
    <w:p>
      <w:pPr>
        <w:overflowPunct w:val="0"/>
        <w:spacing w:line="6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2、支出情况</w:t>
      </w:r>
    </w:p>
    <w:p>
      <w:pPr>
        <w:overflowPunct w:val="0"/>
        <w:spacing w:line="6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该项目资金截止2024年年底支出</w:t>
      </w:r>
      <w:bookmarkStart w:id="6" w:name="OLE_LINK16"/>
      <w:bookmarkStart w:id="7" w:name="OLE_LINK15"/>
      <w:r>
        <w:rPr>
          <w:rFonts w:hint="eastAsia" w:ascii="Times New Roman" w:hAnsi="Times New Roman" w:eastAsia="仿宋_GB2312"/>
          <w:sz w:val="32"/>
          <w:szCs w:val="32"/>
        </w:rPr>
        <w:t>4990208.88元</w:t>
      </w:r>
      <w:bookmarkEnd w:id="6"/>
      <w:bookmarkEnd w:id="7"/>
      <w:r>
        <w:rPr>
          <w:rFonts w:hint="eastAsia" w:ascii="Times New Roman" w:hAnsi="Times New Roman" w:eastAsia="仿宋_GB2312"/>
          <w:sz w:val="32"/>
          <w:szCs w:val="32"/>
        </w:rPr>
        <w:t>，执行率99%。</w:t>
      </w:r>
    </w:p>
    <w:p>
      <w:pPr>
        <w:overflowPunct w:val="0"/>
        <w:spacing w:line="680" w:lineRule="exact"/>
        <w:ind w:firstLine="640" w:firstLineChars="200"/>
        <w:rPr>
          <w:rFonts w:ascii="黑体" w:hAnsi="黑体" w:eastAsia="黑体"/>
          <w:bCs/>
          <w:sz w:val="32"/>
          <w:szCs w:val="32"/>
        </w:rPr>
      </w:pPr>
      <w:r>
        <w:rPr>
          <w:rFonts w:ascii="黑体" w:hAnsi="黑体" w:eastAsia="黑体"/>
          <w:bCs/>
          <w:sz w:val="32"/>
          <w:szCs w:val="32"/>
        </w:rPr>
        <w:t>二、项目组织实施情况</w:t>
      </w:r>
    </w:p>
    <w:p>
      <w:pPr>
        <w:spacing w:line="680" w:lineRule="exact"/>
        <w:ind w:firstLine="480" w:firstLineChars="150"/>
        <w:rPr>
          <w:rFonts w:ascii="楷体" w:hAnsi="楷体" w:eastAsia="楷体"/>
          <w:sz w:val="32"/>
          <w:szCs w:val="32"/>
        </w:rPr>
      </w:pPr>
      <w:r>
        <w:rPr>
          <w:rFonts w:ascii="楷体" w:hAnsi="楷体" w:eastAsia="楷体"/>
          <w:sz w:val="32"/>
          <w:szCs w:val="32"/>
        </w:rPr>
        <w:t>（一）项目实施情况。</w:t>
      </w:r>
    </w:p>
    <w:p>
      <w:pPr>
        <w:spacing w:line="68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2024年我中心紧紧围绕县委、县政府、局党组的决策部署，落实政策，做好我县重大项目建设用地保障工作。</w:t>
      </w:r>
      <w:r>
        <w:rPr>
          <w:rFonts w:hint="eastAsia" w:ascii="Times New Roman" w:hAnsi="Times New Roman" w:eastAsia="仿宋_GB2312"/>
          <w:sz w:val="32"/>
          <w:szCs w:val="32"/>
        </w:rPr>
        <w:t>该项目自2024年1月已启动土地现状调查及征收环节，目前已完成。</w:t>
      </w:r>
    </w:p>
    <w:p>
      <w:pPr>
        <w:spacing w:line="68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根据《财政绩效管理办法》及《甘肃省财政专项资金管理办法实施细则》的要求，我中心高度重视，我中心对财政资金实行了归口管理，单位账号全部纳入了县财政国库单一账户体系管理，所开设账户都经县财政审批。按照内部控制制度要求，财务制度完善，我中心财务制度收支按照国家、省、市、县有关部门的财经法规制度的规定执行，重大财务事项及重要资金的拨付，上报局党组集体讨论决定，严格执行“收支两条线”。确保各项工作按规定要求办理。</w:t>
      </w:r>
    </w:p>
    <w:p>
      <w:pPr>
        <w:overflowPunct w:val="0"/>
        <w:spacing w:line="680" w:lineRule="exact"/>
        <w:ind w:firstLine="320" w:firstLineChars="100"/>
        <w:rPr>
          <w:rFonts w:ascii="楷体" w:hAnsi="楷体" w:eastAsia="楷体"/>
          <w:sz w:val="32"/>
          <w:szCs w:val="32"/>
        </w:rPr>
      </w:pPr>
      <w:r>
        <w:rPr>
          <w:rFonts w:ascii="楷体" w:hAnsi="楷体" w:eastAsia="楷体"/>
          <w:sz w:val="32"/>
          <w:szCs w:val="32"/>
        </w:rPr>
        <w:t>（二）项目绩效目标完成情况。</w:t>
      </w:r>
    </w:p>
    <w:p>
      <w:pPr>
        <w:overflowPunct w:val="0"/>
        <w:spacing w:line="680" w:lineRule="exact"/>
        <w:ind w:firstLine="480" w:firstLineChars="150"/>
        <w:rPr>
          <w:rFonts w:ascii="Times New Roman" w:hAnsi="Times New Roman" w:eastAsia="仿宋_GB2312"/>
          <w:sz w:val="32"/>
          <w:szCs w:val="32"/>
        </w:rPr>
      </w:pPr>
      <w:r>
        <w:rPr>
          <w:rFonts w:hint="eastAsia" w:ascii="仿宋_GB2312" w:hAnsi="仿宋_GB2312" w:eastAsia="仿宋_GB2312" w:cs="仿宋_GB2312"/>
          <w:sz w:val="32"/>
          <w:szCs w:val="32"/>
        </w:rPr>
        <w:t>该项目下达指标500万元，该资金主要用于我县重大项目征地补偿使用，目前已完成。</w:t>
      </w:r>
    </w:p>
    <w:p>
      <w:pPr>
        <w:overflowPunct w:val="0"/>
        <w:spacing w:line="680" w:lineRule="exact"/>
        <w:ind w:firstLine="640" w:firstLineChars="200"/>
        <w:rPr>
          <w:rFonts w:ascii="黑体" w:hAnsi="黑体" w:eastAsia="黑体"/>
          <w:bCs/>
          <w:sz w:val="32"/>
          <w:szCs w:val="32"/>
        </w:rPr>
      </w:pPr>
      <w:r>
        <w:rPr>
          <w:rFonts w:ascii="黑体" w:hAnsi="黑体" w:eastAsia="黑体"/>
          <w:bCs/>
          <w:sz w:val="32"/>
          <w:szCs w:val="32"/>
        </w:rPr>
        <w:t>三、存在的问题</w:t>
      </w:r>
    </w:p>
    <w:p>
      <w:pPr>
        <w:spacing w:line="680" w:lineRule="exact"/>
        <w:ind w:firstLine="480" w:firstLineChars="150"/>
        <w:rPr>
          <w:rFonts w:ascii="楷体" w:hAnsi="楷体" w:eastAsia="楷体"/>
          <w:sz w:val="32"/>
          <w:szCs w:val="32"/>
        </w:rPr>
      </w:pPr>
      <w:r>
        <w:rPr>
          <w:rFonts w:ascii="楷体" w:hAnsi="楷体" w:eastAsia="楷体"/>
          <w:sz w:val="32"/>
          <w:szCs w:val="32"/>
        </w:rPr>
        <w:t>（一）绩效目标执行出现偏差。</w:t>
      </w:r>
    </w:p>
    <w:p>
      <w:pPr>
        <w:spacing w:line="6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偏离绩效目标的主要原因是在土地征收过程中有个别群众拒绝征收自家的土地，并提出不合理的要求，导致征地工作进度缓慢，资金不能及时有效的发放。</w:t>
      </w:r>
    </w:p>
    <w:p>
      <w:pPr>
        <w:overflowPunct w:val="0"/>
        <w:spacing w:line="680" w:lineRule="exact"/>
        <w:ind w:firstLine="640" w:firstLineChars="200"/>
        <w:rPr>
          <w:rFonts w:ascii="楷体" w:hAnsi="楷体" w:eastAsia="楷体"/>
          <w:sz w:val="32"/>
          <w:szCs w:val="32"/>
        </w:rPr>
      </w:pPr>
      <w:r>
        <w:rPr>
          <w:rFonts w:ascii="楷体" w:hAnsi="楷体" w:eastAsia="楷体"/>
          <w:sz w:val="32"/>
          <w:szCs w:val="32"/>
        </w:rPr>
        <w:t>（二）项目实施存在的问题</w:t>
      </w:r>
      <w:r>
        <w:rPr>
          <w:rFonts w:hint="eastAsia" w:ascii="楷体" w:hAnsi="楷体" w:eastAsia="楷体"/>
          <w:sz w:val="32"/>
          <w:szCs w:val="32"/>
        </w:rPr>
        <w:t>。</w:t>
      </w:r>
    </w:p>
    <w:p>
      <w:pPr>
        <w:overflowPunct w:val="0"/>
        <w:spacing w:line="6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1、思想方面。部分群众对征收土地过程中思想认识不高，导致社会舆论有所偏颇。</w:t>
      </w:r>
    </w:p>
    <w:p>
      <w:pPr>
        <w:overflowPunct w:val="0"/>
        <w:spacing w:line="6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2、制度及资金情况。对土地征收补偿资金应纳入年初预算，同时征收土地过程中需加强人员配备。</w:t>
      </w:r>
    </w:p>
    <w:p>
      <w:pPr>
        <w:overflowPunct w:val="0"/>
        <w:spacing w:line="680" w:lineRule="exact"/>
        <w:ind w:firstLine="640" w:firstLineChars="200"/>
        <w:rPr>
          <w:rFonts w:ascii="黑体" w:hAnsi="黑体" w:eastAsia="黑体"/>
          <w:bCs/>
          <w:sz w:val="32"/>
          <w:szCs w:val="32"/>
        </w:rPr>
      </w:pPr>
      <w:r>
        <w:rPr>
          <w:rFonts w:ascii="黑体" w:hAnsi="黑体" w:eastAsia="黑体"/>
          <w:bCs/>
          <w:sz w:val="32"/>
          <w:szCs w:val="32"/>
        </w:rPr>
        <w:t>四、整改措施和建议</w:t>
      </w:r>
    </w:p>
    <w:p>
      <w:pPr>
        <w:spacing w:line="680" w:lineRule="exact"/>
        <w:ind w:firstLine="640" w:firstLineChars="200"/>
        <w:rPr>
          <w:rFonts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1、细化预算编制工作，认真做好预算的编制。进一步加强单位内部统计业务工作的预算管理意识，严格按照预算编制的相关制度和要求进行预算编制;全面编制预算项目，优先保障固定性的，相对刚性的费用支出项目，尽量压缩变动性的。有控制空间的费用项目，进一步提高预算编制的科学性、严谨性和可控性。加强内部预算编制的审核和预算控制指标的下达。</w:t>
      </w:r>
    </w:p>
    <w:p>
      <w:pPr>
        <w:spacing w:line="680" w:lineRule="exact"/>
        <w:ind w:firstLine="640" w:firstLineChars="200"/>
        <w:rPr>
          <w:rFonts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2、加强财务管理，严格财务审核。加强单位财务管理，健全单位财务管理制度体系，规范单位财务行为。在费用报账支付时，按照预算规定的费用项目和用途进行资金使用审核、列报支付、财务核算，杜绝超支现象的发生。</w:t>
      </w:r>
    </w:p>
    <w:p>
      <w:pPr>
        <w:spacing w:line="68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3、在县领导班子层面形成征地领导小组，具体指导征地等各项工作。</w:t>
      </w:r>
    </w:p>
    <w:p>
      <w:pPr>
        <w:spacing w:line="68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4、我中心及时衔接相关部门，做好宣传解释工作，并对部分群众做好思想动员工作。</w:t>
      </w:r>
    </w:p>
    <w:p>
      <w:pPr>
        <w:overflowPunct w:val="0"/>
        <w:spacing w:line="680" w:lineRule="exact"/>
      </w:pPr>
    </w:p>
    <w:p>
      <w:pPr>
        <w:overflowPunct w:val="0"/>
        <w:spacing w:line="680" w:lineRule="exact"/>
      </w:pPr>
    </w:p>
    <w:p>
      <w:pPr>
        <w:overflowPunct w:val="0"/>
        <w:spacing w:line="680" w:lineRule="exact"/>
        <w:ind w:firstLine="3200" w:firstLineChars="1000"/>
        <w:rPr>
          <w:rFonts w:ascii="仿宋_GB2312" w:hAnsi="仿宋_GB2312" w:eastAsia="仿宋_GB2312" w:cs="仿宋_GB2312"/>
          <w:sz w:val="32"/>
          <w:szCs w:val="32"/>
        </w:rPr>
      </w:pPr>
      <w:r>
        <w:rPr>
          <w:rFonts w:hint="eastAsia" w:ascii="仿宋_GB2312" w:hAnsi="仿宋_GB2312" w:eastAsia="仿宋_GB2312" w:cs="仿宋_GB2312"/>
          <w:sz w:val="32"/>
          <w:szCs w:val="32"/>
        </w:rPr>
        <w:t>张家川县土地收购储备中心</w:t>
      </w:r>
    </w:p>
    <w:p>
      <w:pPr>
        <w:overflowPunct w:val="0"/>
        <w:spacing w:line="680" w:lineRule="exact"/>
        <w:ind w:firstLine="4160" w:firstLineChars="1300"/>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022A7E"/>
    <w:rsid w:val="00020F17"/>
    <w:rsid w:val="000F327F"/>
    <w:rsid w:val="002B709E"/>
    <w:rsid w:val="00397310"/>
    <w:rsid w:val="003B2414"/>
    <w:rsid w:val="00406BB8"/>
    <w:rsid w:val="0043101B"/>
    <w:rsid w:val="00603E8A"/>
    <w:rsid w:val="0061645B"/>
    <w:rsid w:val="00683A53"/>
    <w:rsid w:val="00690AD3"/>
    <w:rsid w:val="006B091A"/>
    <w:rsid w:val="007127F1"/>
    <w:rsid w:val="00793C91"/>
    <w:rsid w:val="00830BF0"/>
    <w:rsid w:val="008841D8"/>
    <w:rsid w:val="00885438"/>
    <w:rsid w:val="00887A52"/>
    <w:rsid w:val="009170B1"/>
    <w:rsid w:val="00976528"/>
    <w:rsid w:val="009851CE"/>
    <w:rsid w:val="00985F9D"/>
    <w:rsid w:val="00A20D7B"/>
    <w:rsid w:val="00AB35F8"/>
    <w:rsid w:val="00B00EB5"/>
    <w:rsid w:val="00B1768A"/>
    <w:rsid w:val="00BF43D9"/>
    <w:rsid w:val="00CF14B0"/>
    <w:rsid w:val="00D632A2"/>
    <w:rsid w:val="00D91333"/>
    <w:rsid w:val="00DB38ED"/>
    <w:rsid w:val="00EF6F68"/>
    <w:rsid w:val="00F4640D"/>
    <w:rsid w:val="00FB3C96"/>
    <w:rsid w:val="00FB606E"/>
    <w:rsid w:val="240A5950"/>
    <w:rsid w:val="2D7E2F78"/>
    <w:rsid w:val="69022A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unhideWhenUsed/>
    <w:qFormat/>
    <w:uiPriority w:val="99"/>
    <w:pPr>
      <w:widowControl w:val="0"/>
      <w:tabs>
        <w:tab w:val="center" w:pos="4153"/>
        <w:tab w:val="right" w:pos="8306"/>
      </w:tabs>
      <w:snapToGrid w:val="0"/>
    </w:pPr>
    <w:rPr>
      <w:rFonts w:ascii="Calibri" w:hAnsi="Calibri" w:eastAsia="宋体" w:cs="Times New Roman"/>
      <w:kern w:val="2"/>
      <w:sz w:val="18"/>
      <w:szCs w:val="22"/>
      <w:lang w:val="en-US" w:eastAsia="zh-CN" w:bidi="ar-SA"/>
    </w:rPr>
  </w:style>
  <w:style w:type="paragraph" w:styleId="3">
    <w:name w:val="header"/>
    <w:basedOn w:val="1"/>
    <w:link w:val="8"/>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link w:val="7"/>
    <w:uiPriority w:val="0"/>
    <w:pPr>
      <w:spacing w:beforeAutospacing="1" w:afterAutospacing="1" w:line="576" w:lineRule="exact"/>
      <w:ind w:firstLine="675" w:firstLineChars="200"/>
      <w:jc w:val="left"/>
    </w:pPr>
    <w:rPr>
      <w:rFonts w:eastAsia="仿宋_GB2312"/>
      <w:kern w:val="0"/>
      <w:sz w:val="32"/>
    </w:rPr>
  </w:style>
  <w:style w:type="character" w:customStyle="1" w:styleId="7">
    <w:name w:val="普通(网站) Char"/>
    <w:link w:val="4"/>
    <w:qFormat/>
    <w:uiPriority w:val="0"/>
    <w:rPr>
      <w:rFonts w:ascii="Calibri" w:hAnsi="Calibri" w:eastAsia="仿宋_GB2312" w:cs="Times New Roman"/>
      <w:kern w:val="0"/>
      <w:sz w:val="32"/>
    </w:rPr>
  </w:style>
  <w:style w:type="character" w:customStyle="1" w:styleId="8">
    <w:name w:val="页眉 Char"/>
    <w:basedOn w:val="5"/>
    <w:link w:val="3"/>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1474</Words>
  <Characters>83</Characters>
  <Lines>1</Lines>
  <Paragraphs>3</Paragraphs>
  <TotalTime>1419</TotalTime>
  <ScaleCrop>false</ScaleCrop>
  <LinksUpToDate>false</LinksUpToDate>
  <CharactersWithSpaces>1554</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2025-07-29T02:34:00Z</dcterms:created>
  <dc:creator>再也不上课</dc:creator>
  <cp:lastModifiedBy>呆瓜</cp:lastModifiedBy>
  <cp:lastPrinted>2025-09-23T03:00:06Z</cp:lastPrinted>
  <dcterms:modified xsi:type="dcterms:W3CDTF">2025-09-23T03:00:56Z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205AB3DB2E0C4152A123377BE42E3D0F_11</vt:lpwstr>
  </property>
  <property fmtid="{D5CDD505-2E9C-101B-9397-08002B2CF9AE}" pid="4" name="KSOTemplateDocerSaveRecord">
    <vt:lpwstr>eyJoZGlkIjoiMWZlMmQ2YTA4MTRmODljODQ5NDY2YTVhMjVlN2MzNTYiLCJ1c2VySWQiOiIxNTU2ODMxNzUwIn0=</vt:lpwstr>
  </property>
</Properties>
</file>