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ind w:firstLine="600" w:firstLineChars="200"/>
        <w:jc w:val="left"/>
        <w:rPr>
          <w:rFonts w:hint="default" w:ascii="黑体" w:hAnsi="黑体" w:eastAsia="黑体" w:cs="黑体"/>
          <w:b w:val="0"/>
          <w:i w:val="0"/>
          <w:sz w:val="30"/>
          <w:szCs w:val="30"/>
          <w:lang w:val="en-US" w:eastAsia="zh-CN"/>
        </w:rPr>
      </w:pPr>
      <w:r>
        <w:rPr>
          <w:rFonts w:hint="eastAsia" w:ascii="黑体" w:hAnsi="黑体" w:eastAsia="黑体" w:cs="黑体"/>
          <w:b w:val="0"/>
          <w:i w:val="0"/>
          <w:sz w:val="30"/>
          <w:szCs w:val="30"/>
          <w:lang w:val="en-US" w:eastAsia="zh-CN"/>
        </w:rPr>
        <w:t>附件1</w:t>
      </w:r>
    </w:p>
    <w:p>
      <w:pPr>
        <w:spacing w:after="0" w:line="360" w:lineRule="auto"/>
        <w:ind w:firstLine="880" w:firstLineChars="200"/>
        <w:jc w:val="center"/>
        <w:rPr>
          <w:rFonts w:hint="eastAsia" w:ascii="黑体" w:hAnsi="黑体" w:eastAsia="黑体" w:cs="黑体"/>
          <w:b w:val="0"/>
          <w:i w:val="0"/>
          <w:sz w:val="44"/>
          <w:szCs w:val="44"/>
        </w:rPr>
      </w:pPr>
      <w:r>
        <w:rPr>
          <w:rFonts w:hint="eastAsia" w:ascii="黑体" w:hAnsi="黑体" w:eastAsia="黑体" w:cs="黑体"/>
          <w:b w:val="0"/>
          <w:i w:val="0"/>
          <w:sz w:val="44"/>
          <w:szCs w:val="44"/>
          <w:lang w:val="en-US" w:eastAsia="zh-CN"/>
        </w:rPr>
        <w:t>张家川县梁山镇阳洼村不稳定斜坡治理</w:t>
      </w:r>
      <w:bookmarkStart w:id="0" w:name="_GoBack"/>
      <w:bookmarkEnd w:id="0"/>
      <w:r>
        <w:rPr>
          <w:rFonts w:hint="eastAsia" w:ascii="黑体" w:hAnsi="黑体" w:eastAsia="黑体" w:cs="黑体"/>
          <w:b w:val="0"/>
          <w:i w:val="0"/>
          <w:sz w:val="44"/>
          <w:szCs w:val="44"/>
          <w:lang w:val="en-US" w:eastAsia="zh-CN"/>
        </w:rPr>
        <w:t>工程</w:t>
      </w:r>
      <w:r>
        <w:rPr>
          <w:rFonts w:hint="eastAsia" w:ascii="黑体" w:hAnsi="黑体" w:eastAsia="黑体" w:cs="黑体"/>
          <w:b w:val="0"/>
          <w:i w:val="0"/>
          <w:sz w:val="44"/>
          <w:szCs w:val="44"/>
        </w:rPr>
        <w:t>项目</w:t>
      </w:r>
      <w:r>
        <w:rPr>
          <w:rFonts w:hint="eastAsia" w:ascii="黑体" w:hAnsi="黑体" w:eastAsia="黑体" w:cs="黑体"/>
          <w:b w:val="0"/>
          <w:i w:val="0"/>
          <w:sz w:val="44"/>
          <w:szCs w:val="44"/>
          <w:lang w:eastAsia="zh-CN"/>
        </w:rPr>
        <w:t>绩效自评</w:t>
      </w:r>
      <w:r>
        <w:rPr>
          <w:rFonts w:hint="eastAsia" w:ascii="黑体" w:hAnsi="黑体" w:eastAsia="黑体" w:cs="黑体"/>
          <w:b w:val="0"/>
          <w:i w:val="0"/>
          <w:sz w:val="44"/>
          <w:szCs w:val="44"/>
        </w:rPr>
        <w:t>报告</w:t>
      </w:r>
    </w:p>
    <w:p>
      <w:pPr>
        <w:pStyle w:val="2"/>
        <w:spacing w:line="560" w:lineRule="exact"/>
        <w:rPr>
          <w:rFonts w:eastAsia="仿宋"/>
          <w:i w:val="0"/>
          <w:sz w:val="32"/>
          <w:szCs w:val="32"/>
        </w:rPr>
      </w:pPr>
      <w:r>
        <w:rPr>
          <w:rFonts w:eastAsia="仿宋"/>
          <w:i w:val="0"/>
          <w:sz w:val="32"/>
          <w:szCs w:val="32"/>
        </w:rPr>
        <w:t>一、项目基本情况</w:t>
      </w:r>
    </w:p>
    <w:p>
      <w:pPr>
        <w:pStyle w:val="2"/>
        <w:spacing w:line="560" w:lineRule="exact"/>
        <w:ind w:firstLine="600" w:firstLineChars="200"/>
        <w:rPr>
          <w:rFonts w:eastAsia="仿宋"/>
          <w:i w:val="0"/>
          <w:sz w:val="30"/>
          <w:szCs w:val="30"/>
        </w:rPr>
      </w:pPr>
      <w:r>
        <w:rPr>
          <w:rFonts w:eastAsia="仿宋"/>
          <w:i w:val="0"/>
          <w:sz w:val="30"/>
          <w:szCs w:val="30"/>
        </w:rPr>
        <w:t>（一）项目概况</w:t>
      </w:r>
    </w:p>
    <w:p>
      <w:pPr>
        <w:spacing w:after="0" w:line="360" w:lineRule="auto"/>
        <w:ind w:firstLine="600" w:firstLineChars="200"/>
        <w:rPr>
          <w:rFonts w:eastAsia="仿宋"/>
          <w:b w:val="0"/>
          <w:i w:val="0"/>
          <w:sz w:val="30"/>
          <w:szCs w:val="30"/>
        </w:rPr>
      </w:pPr>
      <w:r>
        <w:rPr>
          <w:rFonts w:eastAsia="仿宋"/>
          <w:b w:val="0"/>
          <w:i w:val="0"/>
          <w:sz w:val="30"/>
          <w:szCs w:val="30"/>
        </w:rPr>
        <w:t>2023年12月11日，省自然资源厅下发了《甘肃省自然资源厅关于提前下达2024年中央财政自然灾害防治体系建设补助资金预算资金计划的通知》(甘资字〔2023〕155号)，提前下达2024年中央自然灾害防治体系建设补助资金预算资金30630.00万元，其中：由我局负责实施的张家川县梁山镇阳洼村不稳定斜坡治理工程预算支出500.00万元。</w:t>
      </w:r>
    </w:p>
    <w:p>
      <w:pPr>
        <w:spacing w:after="0" w:line="360" w:lineRule="auto"/>
        <w:ind w:firstLine="600" w:firstLineChars="200"/>
        <w:rPr>
          <w:rFonts w:eastAsia="仿宋"/>
          <w:b w:val="0"/>
          <w:i w:val="0"/>
          <w:sz w:val="30"/>
          <w:szCs w:val="30"/>
        </w:rPr>
      </w:pPr>
      <w:r>
        <w:rPr>
          <w:rFonts w:eastAsia="仿宋"/>
          <w:b w:val="0"/>
          <w:i w:val="0"/>
          <w:sz w:val="30"/>
          <w:szCs w:val="30"/>
        </w:rPr>
        <w:t>张家川县梁山镇阳洼村不稳定斜坡治理工程批复下达后，我局于2024年1月16日在天水市公共资源交易平台对项目设计进行了公开招标，勘察设计中标单位为中国建筑材料工业地质勘查中心甘肃总队，中标金额40.2万元。2024年1月25日，双方签订了合同。</w:t>
      </w:r>
    </w:p>
    <w:p>
      <w:pPr>
        <w:spacing w:after="0" w:line="360" w:lineRule="auto"/>
        <w:ind w:firstLine="600" w:firstLineChars="200"/>
        <w:rPr>
          <w:rFonts w:eastAsia="仿宋"/>
          <w:b w:val="0"/>
          <w:i w:val="0"/>
          <w:sz w:val="30"/>
          <w:szCs w:val="30"/>
        </w:rPr>
      </w:pPr>
      <w:r>
        <w:rPr>
          <w:rFonts w:eastAsia="仿宋"/>
          <w:b w:val="0"/>
          <w:i w:val="0"/>
          <w:sz w:val="30"/>
          <w:szCs w:val="30"/>
        </w:rPr>
        <w:t>2024年2月26日在天水市公共资源交易平台对该项目施工单位进行了公开招标，施工中标单位为核工业天水工程勘察院有限公司，合同金额416.445468万元。2024年3月8日，双方签订了建设工程施工合同。</w:t>
      </w:r>
    </w:p>
    <w:p>
      <w:pPr>
        <w:spacing w:after="0" w:line="360" w:lineRule="auto"/>
        <w:ind w:firstLine="600" w:firstLineChars="200"/>
        <w:rPr>
          <w:rFonts w:eastAsia="仿宋"/>
          <w:b w:val="0"/>
          <w:i w:val="0"/>
          <w:sz w:val="30"/>
          <w:szCs w:val="30"/>
        </w:rPr>
      </w:pPr>
      <w:r>
        <w:rPr>
          <w:rFonts w:eastAsia="仿宋"/>
          <w:b w:val="0"/>
          <w:i w:val="0"/>
          <w:sz w:val="30"/>
          <w:szCs w:val="30"/>
        </w:rPr>
        <w:t>2024年2月26日在天水市公共资源交易平台对该项目监理进行了公开招标，监理中标单位为甘肃省有色金属地质勘查局天水矿产勘查院，合同金额13.40175万元。2024年3月8日，双方签订了监理合同。</w:t>
      </w:r>
    </w:p>
    <w:p>
      <w:pPr>
        <w:spacing w:after="0" w:line="360" w:lineRule="auto"/>
        <w:ind w:firstLine="600" w:firstLineChars="200"/>
        <w:rPr>
          <w:rFonts w:eastAsia="仿宋"/>
          <w:b w:val="0"/>
          <w:i w:val="0"/>
          <w:sz w:val="30"/>
          <w:szCs w:val="30"/>
        </w:rPr>
      </w:pPr>
      <w:r>
        <w:rPr>
          <w:rFonts w:eastAsia="仿宋"/>
          <w:b w:val="0"/>
          <w:i w:val="0"/>
          <w:sz w:val="30"/>
          <w:szCs w:val="30"/>
        </w:rPr>
        <w:t>本项目实施的主要目的是对张家川县梁山镇阳洼村不稳定斜坡进行治理，保护斜坡坡顶、坡脚住户及阳洼村学校师生共计73户518人的生命财产安全，保护财产2500万元，彻底消除不稳定斜坡对区内群众的潜在威胁。该项目群众治理愿望迫切，施工条件良好，且得到当地镇政府及村民的全力配合，项目治理方案经省自然资源厅组织专家评审通过后备案，方案成熟可行，治理必要性大。</w:t>
      </w:r>
    </w:p>
    <w:p>
      <w:pPr>
        <w:spacing w:after="0" w:line="360" w:lineRule="auto"/>
        <w:ind w:firstLine="600" w:firstLineChars="200"/>
        <w:rPr>
          <w:rFonts w:eastAsia="仿宋"/>
          <w:b w:val="0"/>
          <w:i w:val="0"/>
          <w:sz w:val="30"/>
          <w:szCs w:val="30"/>
        </w:rPr>
      </w:pPr>
      <w:r>
        <w:rPr>
          <w:rFonts w:eastAsia="仿宋"/>
          <w:b w:val="0"/>
          <w:i w:val="0"/>
          <w:sz w:val="30"/>
          <w:szCs w:val="30"/>
        </w:rPr>
        <w:t>根据《甘肃省自然资源厅关于做好天水市秦州区华岐镇辛大沟泥石流治理工程等10个项目实施工作的通知》（甘资勘函〔2024〕33号），项目实施周期：2024年1月至2024年12月，共计12个月。项目实施内容主要为：重力式挡土墙443米，肋板墙267米，锚杆270根，散水580米，排水渠50米，防护栏杆267米，窑洞回填6处，土方开挖2844立方米，土方夯填2400立方米。项目总投资500万元。</w:t>
      </w:r>
    </w:p>
    <w:p>
      <w:pPr>
        <w:pStyle w:val="2"/>
        <w:spacing w:line="560" w:lineRule="exact"/>
        <w:ind w:firstLine="600" w:firstLineChars="200"/>
        <w:rPr>
          <w:rFonts w:eastAsia="仿宋"/>
          <w:i w:val="0"/>
          <w:sz w:val="30"/>
          <w:szCs w:val="30"/>
        </w:rPr>
      </w:pPr>
      <w:r>
        <w:rPr>
          <w:rFonts w:eastAsia="仿宋"/>
          <w:i w:val="0"/>
          <w:sz w:val="30"/>
          <w:szCs w:val="30"/>
        </w:rPr>
        <w:t>（二）项目绩效目标情况</w:t>
      </w:r>
    </w:p>
    <w:p>
      <w:pPr>
        <w:spacing w:after="0" w:line="360" w:lineRule="auto"/>
        <w:ind w:firstLine="600" w:firstLineChars="200"/>
        <w:rPr>
          <w:rFonts w:eastAsia="仿宋"/>
          <w:b w:val="0"/>
          <w:i w:val="0"/>
          <w:sz w:val="30"/>
          <w:szCs w:val="30"/>
        </w:rPr>
      </w:pPr>
      <w:r>
        <w:rPr>
          <w:rFonts w:hint="eastAsia" w:eastAsia="仿宋"/>
          <w:b w:val="0"/>
          <w:i w:val="0"/>
          <w:sz w:val="30"/>
          <w:szCs w:val="30"/>
        </w:rPr>
        <w:t>本项目的年度目标是于2024年12月底前完成项目建设内容，确保工程“零伤亡、高质量、高评价”，最大程度保障人民群众生命财产安全和社会大局稳定。</w:t>
      </w:r>
    </w:p>
    <w:p>
      <w:pPr>
        <w:spacing w:after="0" w:line="360" w:lineRule="auto"/>
        <w:ind w:firstLine="600" w:firstLineChars="200"/>
        <w:rPr>
          <w:rFonts w:eastAsia="仿宋"/>
          <w:b w:val="0"/>
          <w:i w:val="0"/>
          <w:sz w:val="30"/>
          <w:szCs w:val="30"/>
        </w:rPr>
      </w:pPr>
      <w:r>
        <w:rPr>
          <w:rFonts w:hint="eastAsia" w:eastAsia="仿宋"/>
          <w:b w:val="0"/>
          <w:i w:val="0"/>
          <w:sz w:val="30"/>
          <w:szCs w:val="30"/>
        </w:rPr>
        <w:t>本项目的长期目标是基于本项目的实施，持续提升地质灾害风险管控、隐患识别、监测预警、防御工程标准和基层防灾能力</w:t>
      </w:r>
      <w:r>
        <w:rPr>
          <w:rFonts w:hint="eastAsia" w:ascii="MS Mincho" w:hAnsi="MS Mincho" w:eastAsia="MS Mincho" w:cs="MS Mincho"/>
          <w:b w:val="0"/>
          <w:i w:val="0"/>
          <w:sz w:val="30"/>
          <w:szCs w:val="30"/>
        </w:rPr>
        <w:t>‌</w:t>
      </w:r>
      <w:r>
        <w:rPr>
          <w:rFonts w:hint="eastAsia" w:ascii="仿宋" w:hAnsi="仿宋" w:eastAsia="仿宋" w:cs="仿宋"/>
          <w:b w:val="0"/>
          <w:i w:val="0"/>
          <w:sz w:val="30"/>
          <w:szCs w:val="30"/>
        </w:rPr>
        <w:t>，包括：</w:t>
      </w:r>
      <w:r>
        <w:rPr>
          <w:rFonts w:hint="eastAsia" w:eastAsia="仿宋"/>
          <w:b w:val="0"/>
          <w:i w:val="0"/>
          <w:sz w:val="30"/>
          <w:szCs w:val="30"/>
        </w:rPr>
        <w:t>①建立综合治理机制：形成多部门协作的地质灾害防治体系，实现资源有效整合；②助力区域环境整治：推动区域内生态恢复工程，增强自然环境的防灾能力，助力美丽乡村建设；③技术创新与推广：引入新技术，提高地质灾害监测和治理的效率和效果。</w:t>
      </w:r>
    </w:p>
    <w:p>
      <w:pPr>
        <w:spacing w:after="0" w:line="360" w:lineRule="auto"/>
        <w:ind w:firstLine="600" w:firstLineChars="200"/>
        <w:rPr>
          <w:rFonts w:eastAsia="仿宋"/>
          <w:b w:val="0"/>
          <w:i w:val="0"/>
          <w:sz w:val="30"/>
          <w:szCs w:val="30"/>
        </w:rPr>
      </w:pPr>
      <w:r>
        <w:rPr>
          <w:rFonts w:eastAsia="仿宋"/>
          <w:b w:val="0"/>
          <w:i w:val="0"/>
          <w:sz w:val="30"/>
          <w:szCs w:val="30"/>
        </w:rPr>
        <w:t>根据《甘肃省自然资源厅关于提前下达2024年中央财政自然灾害防治体系建设补助资金预算资金计划的通知》(甘资字〔2023〕155号)，附件3《2024年度中央财政自然灾害防治体系建设补助资金绩效目标表》，本项目</w:t>
      </w:r>
      <w:r>
        <w:rPr>
          <w:rFonts w:hint="eastAsia" w:eastAsia="仿宋"/>
          <w:b w:val="0"/>
          <w:i w:val="0"/>
          <w:sz w:val="30"/>
          <w:szCs w:val="30"/>
        </w:rPr>
        <w:t>的</w:t>
      </w:r>
      <w:r>
        <w:rPr>
          <w:rFonts w:eastAsia="仿宋"/>
          <w:b w:val="0"/>
          <w:i w:val="0"/>
          <w:sz w:val="30"/>
          <w:szCs w:val="30"/>
        </w:rPr>
        <w:t>绩效目标</w:t>
      </w:r>
      <w:r>
        <w:rPr>
          <w:rFonts w:hint="eastAsia" w:eastAsia="仿宋"/>
          <w:b w:val="0"/>
          <w:i w:val="0"/>
          <w:sz w:val="30"/>
          <w:szCs w:val="30"/>
        </w:rPr>
        <w:t>设置情况</w:t>
      </w:r>
      <w:r>
        <w:rPr>
          <w:rFonts w:eastAsia="仿宋"/>
          <w:b w:val="0"/>
          <w:i w:val="0"/>
          <w:sz w:val="30"/>
          <w:szCs w:val="30"/>
        </w:rPr>
        <w:t>见表1。</w:t>
      </w:r>
    </w:p>
    <w:p>
      <w:pPr>
        <w:spacing w:line="360" w:lineRule="auto"/>
        <w:ind w:firstLine="480" w:firstLineChars="200"/>
        <w:jc w:val="left"/>
        <w:rPr>
          <w:rFonts w:eastAsia="仿宋"/>
          <w:b w:val="0"/>
          <w:i w:val="0"/>
          <w:sz w:val="24"/>
        </w:rPr>
      </w:pPr>
      <w:r>
        <w:rPr>
          <w:rFonts w:eastAsia="仿宋"/>
          <w:b w:val="0"/>
          <w:i w:val="0"/>
          <w:sz w:val="24"/>
        </w:rPr>
        <w:t>表1    天水市张家川县梁山镇阳洼村不稳定斜坡治理工程绩效目标表</w:t>
      </w:r>
    </w:p>
    <w:tbl>
      <w:tblPr>
        <w:tblStyle w:val="13"/>
        <w:tblW w:w="8306"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389"/>
        <w:gridCol w:w="1738"/>
        <w:gridCol w:w="3435"/>
        <w:gridCol w:w="872"/>
        <w:gridCol w:w="87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510" w:hRule="atLeast"/>
        </w:trPr>
        <w:tc>
          <w:tcPr>
            <w:tcW w:w="1389" w:type="dxa"/>
            <w:tcBorders>
              <w:top w:val="single" w:color="auto" w:sz="4" w:space="0"/>
              <w:left w:val="nil"/>
            </w:tcBorders>
            <w:shd w:val="clear" w:color="auto" w:fill="auto"/>
            <w:vAlign w:val="center"/>
          </w:tcPr>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一级指标</w:t>
            </w:r>
          </w:p>
        </w:tc>
        <w:tc>
          <w:tcPr>
            <w:tcW w:w="1738" w:type="dxa"/>
            <w:tcBorders>
              <w:top w:val="single" w:color="auto" w:sz="4" w:space="0"/>
            </w:tcBorders>
            <w:shd w:val="clear" w:color="auto" w:fill="auto"/>
            <w:vAlign w:val="center"/>
          </w:tcPr>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二级指标</w:t>
            </w:r>
          </w:p>
        </w:tc>
        <w:tc>
          <w:tcPr>
            <w:tcW w:w="3435" w:type="dxa"/>
            <w:tcBorders>
              <w:top w:val="single" w:color="auto" w:sz="4" w:space="0"/>
            </w:tcBorders>
            <w:shd w:val="clear" w:color="auto" w:fill="auto"/>
            <w:vAlign w:val="center"/>
          </w:tcPr>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三级指标</w:t>
            </w:r>
          </w:p>
        </w:tc>
        <w:tc>
          <w:tcPr>
            <w:tcW w:w="872" w:type="dxa"/>
            <w:tcBorders>
              <w:top w:val="single" w:color="auto" w:sz="4" w:space="0"/>
            </w:tcBorders>
            <w:shd w:val="clear" w:color="auto" w:fill="auto"/>
            <w:vAlign w:val="center"/>
          </w:tcPr>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年度</w:t>
            </w:r>
          </w:p>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指标值</w:t>
            </w:r>
          </w:p>
        </w:tc>
        <w:tc>
          <w:tcPr>
            <w:tcW w:w="872" w:type="dxa"/>
            <w:tcBorders>
              <w:top w:val="single" w:color="auto" w:sz="4" w:space="0"/>
              <w:right w:val="nil"/>
            </w:tcBorders>
            <w:vAlign w:val="center"/>
          </w:tcPr>
          <w:p>
            <w:pPr>
              <w:widowControl/>
              <w:adjustRightInd w:val="0"/>
              <w:snapToGrid w:val="0"/>
              <w:spacing w:after="0" w:line="240" w:lineRule="auto"/>
              <w:jc w:val="center"/>
              <w:rPr>
                <w:bCs/>
                <w:i w:val="0"/>
                <w:color w:val="000000"/>
                <w:kern w:val="0"/>
                <w:sz w:val="21"/>
                <w:szCs w:val="21"/>
              </w:rPr>
            </w:pPr>
            <w:r>
              <w:rPr>
                <w:bCs/>
                <w:i w:val="0"/>
                <w:color w:val="000000"/>
                <w:kern w:val="0"/>
                <w:sz w:val="21"/>
                <w:szCs w:val="21"/>
              </w:rPr>
              <w:t>预算支出级次</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trPr>
        <w:tc>
          <w:tcPr>
            <w:tcW w:w="1389" w:type="dxa"/>
            <w:vMerge w:val="restart"/>
            <w:tcBorders>
              <w:left w:val="nil"/>
            </w:tcBorders>
            <w:shd w:val="clear" w:color="auto" w:fill="auto"/>
            <w:vAlign w:val="center"/>
          </w:tcPr>
          <w:p>
            <w:pPr>
              <w:widowControl/>
              <w:adjustRightInd w:val="0"/>
              <w:snapToGrid w:val="0"/>
              <w:spacing w:after="0" w:line="240" w:lineRule="auto"/>
              <w:jc w:val="center"/>
              <w:rPr>
                <w:b w:val="0"/>
                <w:i w:val="0"/>
                <w:kern w:val="0"/>
                <w:sz w:val="21"/>
                <w:szCs w:val="21"/>
              </w:rPr>
            </w:pPr>
            <w:r>
              <w:rPr>
                <w:b w:val="0"/>
                <w:i w:val="0"/>
                <w:kern w:val="0"/>
                <w:sz w:val="21"/>
                <w:szCs w:val="21"/>
              </w:rPr>
              <w:t>产</w:t>
            </w:r>
          </w:p>
          <w:p>
            <w:pPr>
              <w:widowControl/>
              <w:adjustRightInd w:val="0"/>
              <w:snapToGrid w:val="0"/>
              <w:spacing w:after="0" w:line="240" w:lineRule="auto"/>
              <w:jc w:val="center"/>
              <w:rPr>
                <w:b w:val="0"/>
                <w:i w:val="0"/>
                <w:kern w:val="0"/>
                <w:sz w:val="21"/>
                <w:szCs w:val="21"/>
              </w:rPr>
            </w:pPr>
            <w:r>
              <w:rPr>
                <w:b w:val="0"/>
                <w:i w:val="0"/>
                <w:kern w:val="0"/>
                <w:sz w:val="21"/>
                <w:szCs w:val="21"/>
              </w:rPr>
              <w:t>出</w:t>
            </w:r>
          </w:p>
          <w:p>
            <w:pPr>
              <w:widowControl/>
              <w:adjustRightInd w:val="0"/>
              <w:snapToGrid w:val="0"/>
              <w:spacing w:after="0" w:line="240" w:lineRule="auto"/>
              <w:jc w:val="center"/>
              <w:rPr>
                <w:b w:val="0"/>
                <w:i w:val="0"/>
                <w:kern w:val="0"/>
                <w:sz w:val="21"/>
                <w:szCs w:val="21"/>
              </w:rPr>
            </w:pPr>
            <w:r>
              <w:rPr>
                <w:b w:val="0"/>
                <w:i w:val="0"/>
                <w:kern w:val="0"/>
                <w:sz w:val="21"/>
                <w:szCs w:val="21"/>
              </w:rPr>
              <w:t>指</w:t>
            </w:r>
          </w:p>
          <w:p>
            <w:pPr>
              <w:widowControl/>
              <w:adjustRightInd w:val="0"/>
              <w:snapToGrid w:val="0"/>
              <w:spacing w:after="0" w:line="240" w:lineRule="auto"/>
              <w:jc w:val="center"/>
              <w:rPr>
                <w:b w:val="0"/>
                <w:i w:val="0"/>
                <w:kern w:val="0"/>
                <w:sz w:val="21"/>
                <w:szCs w:val="21"/>
              </w:rPr>
            </w:pPr>
            <w:r>
              <w:rPr>
                <w:b w:val="0"/>
                <w:i w:val="0"/>
                <w:kern w:val="0"/>
                <w:sz w:val="21"/>
                <w:szCs w:val="21"/>
              </w:rPr>
              <w:t>标</w:t>
            </w:r>
          </w:p>
        </w:tc>
        <w:tc>
          <w:tcPr>
            <w:tcW w:w="1738" w:type="dxa"/>
            <w:vMerge w:val="restart"/>
            <w:shd w:val="clear" w:color="auto" w:fill="auto"/>
            <w:vAlign w:val="center"/>
          </w:tcPr>
          <w:p>
            <w:pPr>
              <w:widowControl/>
              <w:adjustRightInd w:val="0"/>
              <w:snapToGrid w:val="0"/>
              <w:spacing w:after="0" w:line="240" w:lineRule="auto"/>
              <w:jc w:val="center"/>
              <w:rPr>
                <w:b w:val="0"/>
                <w:i w:val="0"/>
                <w:kern w:val="0"/>
                <w:sz w:val="21"/>
                <w:szCs w:val="21"/>
              </w:rPr>
            </w:pPr>
            <w:r>
              <w:rPr>
                <w:b w:val="0"/>
                <w:i w:val="0"/>
                <w:kern w:val="0"/>
                <w:sz w:val="21"/>
                <w:szCs w:val="21"/>
              </w:rPr>
              <w:t>数量指标</w:t>
            </w: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地质灾害综合治理项目（个）</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rPr>
              <w:t>1</w:t>
            </w:r>
          </w:p>
        </w:tc>
        <w:tc>
          <w:tcPr>
            <w:tcW w:w="872" w:type="dxa"/>
            <w:tcBorders>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00" w:hRule="atLeast"/>
        </w:trPr>
        <w:tc>
          <w:tcPr>
            <w:tcW w:w="1389" w:type="dxa"/>
            <w:vMerge w:val="continue"/>
            <w:tcBorders>
              <w:left w:val="nil"/>
            </w:tcBorders>
            <w:vAlign w:val="center"/>
          </w:tcPr>
          <w:p>
            <w:pPr>
              <w:widowControl/>
              <w:adjustRightInd w:val="0"/>
              <w:snapToGrid w:val="0"/>
              <w:spacing w:after="0" w:line="240" w:lineRule="auto"/>
              <w:jc w:val="left"/>
              <w:rPr>
                <w:b w:val="0"/>
                <w:i w:val="0"/>
                <w:kern w:val="0"/>
                <w:sz w:val="21"/>
                <w:szCs w:val="21"/>
              </w:rPr>
            </w:pPr>
          </w:p>
        </w:tc>
        <w:tc>
          <w:tcPr>
            <w:tcW w:w="1738" w:type="dxa"/>
            <w:vMerge w:val="continue"/>
            <w:shd w:val="clear" w:color="auto" w:fill="auto"/>
            <w:vAlign w:val="center"/>
          </w:tcPr>
          <w:p>
            <w:pPr>
              <w:widowControl/>
              <w:adjustRightInd w:val="0"/>
              <w:snapToGrid w:val="0"/>
              <w:spacing w:after="0" w:line="240" w:lineRule="auto"/>
              <w:jc w:val="center"/>
              <w:rPr>
                <w:b w:val="0"/>
                <w:i w:val="0"/>
                <w:color w:val="000000"/>
                <w:kern w:val="0"/>
                <w:sz w:val="21"/>
                <w:szCs w:val="21"/>
              </w:rPr>
            </w:pP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治理工程保护财产（万元）</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highlight w:val="yellow"/>
              </w:rPr>
            </w:pPr>
            <w:r>
              <w:rPr>
                <w:rFonts w:eastAsiaTheme="minorEastAsia"/>
                <w:b w:val="0"/>
                <w:i w:val="0"/>
                <w:color w:val="000000"/>
                <w:sz w:val="18"/>
                <w:szCs w:val="18"/>
              </w:rPr>
              <w:t>8800</w:t>
            </w:r>
          </w:p>
        </w:tc>
        <w:tc>
          <w:tcPr>
            <w:tcW w:w="872" w:type="dxa"/>
            <w:tcBorders>
              <w:right w:val="nil"/>
            </w:tcBorders>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25" w:hRule="atLeast"/>
        </w:trPr>
        <w:tc>
          <w:tcPr>
            <w:tcW w:w="1389" w:type="dxa"/>
            <w:vMerge w:val="continue"/>
            <w:tcBorders>
              <w:left w:val="nil"/>
            </w:tcBorders>
            <w:vAlign w:val="center"/>
          </w:tcPr>
          <w:p>
            <w:pPr>
              <w:widowControl/>
              <w:adjustRightInd w:val="0"/>
              <w:snapToGrid w:val="0"/>
              <w:spacing w:after="0" w:line="240" w:lineRule="auto"/>
              <w:jc w:val="left"/>
              <w:rPr>
                <w:b w:val="0"/>
                <w:i w:val="0"/>
                <w:kern w:val="0"/>
                <w:sz w:val="21"/>
                <w:szCs w:val="21"/>
              </w:rPr>
            </w:pPr>
          </w:p>
        </w:tc>
        <w:tc>
          <w:tcPr>
            <w:tcW w:w="1738" w:type="dxa"/>
            <w:vMerge w:val="continue"/>
            <w:shd w:val="clear" w:color="auto" w:fill="auto"/>
            <w:vAlign w:val="center"/>
          </w:tcPr>
          <w:p>
            <w:pPr>
              <w:widowControl/>
              <w:adjustRightInd w:val="0"/>
              <w:snapToGrid w:val="0"/>
              <w:spacing w:after="0" w:line="240" w:lineRule="auto"/>
              <w:jc w:val="center"/>
              <w:rPr>
                <w:b w:val="0"/>
                <w:i w:val="0"/>
                <w:color w:val="000000"/>
                <w:kern w:val="0"/>
                <w:sz w:val="21"/>
                <w:szCs w:val="21"/>
              </w:rPr>
            </w:pP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治理工程保护人数（人）</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highlight w:val="yellow"/>
              </w:rPr>
            </w:pPr>
            <w:r>
              <w:rPr>
                <w:rFonts w:eastAsiaTheme="minorEastAsia"/>
                <w:b w:val="0"/>
                <w:i w:val="0"/>
                <w:color w:val="000000"/>
                <w:sz w:val="18"/>
                <w:szCs w:val="18"/>
              </w:rPr>
              <w:t>1130</w:t>
            </w:r>
          </w:p>
        </w:tc>
        <w:tc>
          <w:tcPr>
            <w:tcW w:w="872" w:type="dxa"/>
            <w:tcBorders>
              <w:right w:val="nil"/>
            </w:tcBorders>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55" w:hRule="atLeast"/>
        </w:trPr>
        <w:tc>
          <w:tcPr>
            <w:tcW w:w="1389" w:type="dxa"/>
            <w:vMerge w:val="continue"/>
            <w:tcBorders>
              <w:left w:val="nil"/>
            </w:tcBorders>
            <w:vAlign w:val="center"/>
          </w:tcPr>
          <w:p>
            <w:pPr>
              <w:widowControl/>
              <w:adjustRightInd w:val="0"/>
              <w:snapToGrid w:val="0"/>
              <w:spacing w:after="0" w:line="240" w:lineRule="auto"/>
              <w:jc w:val="left"/>
              <w:rPr>
                <w:b w:val="0"/>
                <w:i w:val="0"/>
                <w:kern w:val="0"/>
                <w:sz w:val="21"/>
                <w:szCs w:val="21"/>
              </w:rPr>
            </w:pPr>
          </w:p>
        </w:tc>
        <w:tc>
          <w:tcPr>
            <w:tcW w:w="1738" w:type="dxa"/>
            <w:shd w:val="clear" w:color="auto" w:fill="auto"/>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质量指标</w:t>
            </w: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项目验收合格率（%）</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rPr>
              <w:t>100%</w:t>
            </w:r>
          </w:p>
        </w:tc>
        <w:tc>
          <w:tcPr>
            <w:tcW w:w="872" w:type="dxa"/>
            <w:tcBorders>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70" w:hRule="atLeast"/>
        </w:trPr>
        <w:tc>
          <w:tcPr>
            <w:tcW w:w="1389" w:type="dxa"/>
            <w:vMerge w:val="continue"/>
            <w:tcBorders>
              <w:left w:val="nil"/>
            </w:tcBorders>
            <w:vAlign w:val="center"/>
          </w:tcPr>
          <w:p>
            <w:pPr>
              <w:widowControl/>
              <w:adjustRightInd w:val="0"/>
              <w:snapToGrid w:val="0"/>
              <w:spacing w:after="0" w:line="240" w:lineRule="auto"/>
              <w:jc w:val="left"/>
              <w:rPr>
                <w:b w:val="0"/>
                <w:i w:val="0"/>
                <w:kern w:val="0"/>
                <w:sz w:val="21"/>
                <w:szCs w:val="21"/>
              </w:rPr>
            </w:pPr>
          </w:p>
        </w:tc>
        <w:tc>
          <w:tcPr>
            <w:tcW w:w="1738" w:type="dxa"/>
            <w:shd w:val="clear" w:color="auto" w:fill="auto"/>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时效指标</w:t>
            </w: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项目按时完成率</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rPr>
              <w:t>100%</w:t>
            </w:r>
          </w:p>
        </w:tc>
        <w:tc>
          <w:tcPr>
            <w:tcW w:w="872" w:type="dxa"/>
            <w:tcBorders>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70" w:hRule="atLeast"/>
        </w:trPr>
        <w:tc>
          <w:tcPr>
            <w:tcW w:w="1389" w:type="dxa"/>
            <w:vMerge w:val="restart"/>
            <w:tcBorders>
              <w:left w:val="nil"/>
            </w:tcBorders>
            <w:shd w:val="clear" w:color="auto" w:fill="auto"/>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效果指标</w:t>
            </w:r>
          </w:p>
        </w:tc>
        <w:tc>
          <w:tcPr>
            <w:tcW w:w="1738" w:type="dxa"/>
            <w:shd w:val="clear" w:color="auto" w:fill="auto"/>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经济效益</w:t>
            </w: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核销地质灾害隐患点数量（处）</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highlight w:val="none"/>
              </w:rPr>
              <w:t>1</w:t>
            </w:r>
          </w:p>
        </w:tc>
        <w:tc>
          <w:tcPr>
            <w:tcW w:w="872" w:type="dxa"/>
            <w:tcBorders>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455" w:hRule="atLeast"/>
        </w:trPr>
        <w:tc>
          <w:tcPr>
            <w:tcW w:w="1389" w:type="dxa"/>
            <w:vMerge w:val="continue"/>
            <w:tcBorders>
              <w:left w:val="nil"/>
            </w:tcBorders>
            <w:vAlign w:val="center"/>
          </w:tcPr>
          <w:p>
            <w:pPr>
              <w:widowControl/>
              <w:adjustRightInd w:val="0"/>
              <w:snapToGrid w:val="0"/>
              <w:spacing w:after="0" w:line="240" w:lineRule="auto"/>
              <w:jc w:val="left"/>
              <w:rPr>
                <w:b w:val="0"/>
                <w:i w:val="0"/>
                <w:color w:val="000000"/>
                <w:kern w:val="0"/>
                <w:sz w:val="21"/>
                <w:szCs w:val="21"/>
              </w:rPr>
            </w:pPr>
          </w:p>
        </w:tc>
        <w:tc>
          <w:tcPr>
            <w:tcW w:w="1738" w:type="dxa"/>
            <w:shd w:val="clear" w:color="auto" w:fill="auto"/>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社会效益</w:t>
            </w:r>
          </w:p>
        </w:tc>
        <w:tc>
          <w:tcPr>
            <w:tcW w:w="3435" w:type="dxa"/>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保障群众预防地质灾害能力</w:t>
            </w:r>
          </w:p>
        </w:tc>
        <w:tc>
          <w:tcPr>
            <w:tcW w:w="872" w:type="dxa"/>
            <w:shd w:val="clear" w:color="auto" w:fill="auto"/>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rPr>
              <w:t>提升</w:t>
            </w:r>
          </w:p>
        </w:tc>
        <w:tc>
          <w:tcPr>
            <w:tcW w:w="872" w:type="dxa"/>
            <w:tcBorders>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570" w:hRule="atLeast"/>
        </w:trPr>
        <w:tc>
          <w:tcPr>
            <w:tcW w:w="1389" w:type="dxa"/>
            <w:tcBorders>
              <w:left w:val="nil"/>
              <w:bottom w:val="single" w:color="auto" w:sz="4" w:space="0"/>
            </w:tcBorders>
            <w:vAlign w:val="center"/>
          </w:tcPr>
          <w:p>
            <w:pPr>
              <w:widowControl/>
              <w:adjustRightInd w:val="0"/>
              <w:snapToGrid w:val="0"/>
              <w:spacing w:after="0" w:line="240" w:lineRule="auto"/>
              <w:jc w:val="left"/>
              <w:rPr>
                <w:b w:val="0"/>
                <w:i w:val="0"/>
                <w:color w:val="000000"/>
                <w:kern w:val="0"/>
                <w:sz w:val="21"/>
                <w:szCs w:val="21"/>
              </w:rPr>
            </w:pPr>
            <w:r>
              <w:rPr>
                <w:b w:val="0"/>
                <w:i w:val="0"/>
                <w:color w:val="000000"/>
                <w:kern w:val="0"/>
                <w:sz w:val="21"/>
                <w:szCs w:val="21"/>
              </w:rPr>
              <w:t>满意度指标</w:t>
            </w:r>
          </w:p>
        </w:tc>
        <w:tc>
          <w:tcPr>
            <w:tcW w:w="1738" w:type="dxa"/>
            <w:tcBorders>
              <w:bottom w:val="single" w:color="auto" w:sz="4" w:space="0"/>
            </w:tcBorders>
            <w:shd w:val="clear" w:color="auto" w:fill="auto"/>
            <w:noWrap/>
            <w:vAlign w:val="center"/>
          </w:tcPr>
          <w:p>
            <w:pPr>
              <w:widowControl/>
              <w:adjustRightInd w:val="0"/>
              <w:snapToGrid w:val="0"/>
              <w:spacing w:after="0" w:line="240" w:lineRule="auto"/>
              <w:jc w:val="center"/>
              <w:rPr>
                <w:b w:val="0"/>
                <w:i w:val="0"/>
                <w:color w:val="000000"/>
                <w:kern w:val="0"/>
                <w:sz w:val="21"/>
                <w:szCs w:val="21"/>
              </w:rPr>
            </w:pPr>
            <w:r>
              <w:rPr>
                <w:b w:val="0"/>
                <w:i w:val="0"/>
                <w:color w:val="000000"/>
                <w:kern w:val="0"/>
                <w:sz w:val="21"/>
                <w:szCs w:val="21"/>
              </w:rPr>
              <w:t>服务对象满意度</w:t>
            </w:r>
          </w:p>
        </w:tc>
        <w:tc>
          <w:tcPr>
            <w:tcW w:w="3435" w:type="dxa"/>
            <w:tcBorders>
              <w:bottom w:val="single" w:color="auto" w:sz="4" w:space="0"/>
            </w:tcBorders>
            <w:shd w:val="clear" w:color="auto" w:fill="auto"/>
            <w:vAlign w:val="center"/>
          </w:tcPr>
          <w:p>
            <w:pPr>
              <w:adjustRightInd w:val="0"/>
              <w:snapToGrid w:val="0"/>
              <w:spacing w:after="0" w:line="240" w:lineRule="auto"/>
              <w:rPr>
                <w:b w:val="0"/>
                <w:i w:val="0"/>
                <w:color w:val="000000"/>
                <w:sz w:val="18"/>
                <w:szCs w:val="18"/>
              </w:rPr>
            </w:pPr>
            <w:r>
              <w:rPr>
                <w:b w:val="0"/>
                <w:i w:val="0"/>
                <w:color w:val="000000"/>
                <w:sz w:val="18"/>
                <w:szCs w:val="18"/>
              </w:rPr>
              <w:t>实施区受益人满意度</w:t>
            </w:r>
          </w:p>
        </w:tc>
        <w:tc>
          <w:tcPr>
            <w:tcW w:w="872" w:type="dxa"/>
            <w:tcBorders>
              <w:bottom w:val="single" w:color="auto" w:sz="4" w:space="0"/>
            </w:tcBorders>
            <w:shd w:val="clear" w:color="auto" w:fill="auto"/>
            <w:noWrap/>
            <w:vAlign w:val="center"/>
          </w:tcPr>
          <w:p>
            <w:pPr>
              <w:adjustRightInd w:val="0"/>
              <w:snapToGrid w:val="0"/>
              <w:spacing w:after="0" w:line="240" w:lineRule="auto"/>
              <w:jc w:val="center"/>
              <w:rPr>
                <w:rFonts w:eastAsiaTheme="minorEastAsia"/>
                <w:b w:val="0"/>
                <w:i w:val="0"/>
                <w:color w:val="000000"/>
                <w:sz w:val="18"/>
                <w:szCs w:val="18"/>
              </w:rPr>
            </w:pPr>
            <w:r>
              <w:rPr>
                <w:rFonts w:eastAsiaTheme="minorEastAsia"/>
                <w:b w:val="0"/>
                <w:i w:val="0"/>
                <w:color w:val="000000"/>
                <w:sz w:val="18"/>
                <w:szCs w:val="18"/>
              </w:rPr>
              <w:t>&gt;=90%</w:t>
            </w:r>
          </w:p>
        </w:tc>
        <w:tc>
          <w:tcPr>
            <w:tcW w:w="872" w:type="dxa"/>
            <w:tcBorders>
              <w:bottom w:val="single" w:color="auto" w:sz="4" w:space="0"/>
              <w:right w:val="nil"/>
            </w:tcBorders>
            <w:vAlign w:val="center"/>
          </w:tcPr>
          <w:p>
            <w:pPr>
              <w:widowControl/>
              <w:adjustRightInd w:val="0"/>
              <w:snapToGrid w:val="0"/>
              <w:spacing w:after="0" w:line="240" w:lineRule="auto"/>
              <w:rPr>
                <w:b w:val="0"/>
                <w:i w:val="0"/>
                <w:color w:val="000000"/>
                <w:kern w:val="0"/>
                <w:sz w:val="21"/>
                <w:szCs w:val="21"/>
              </w:rPr>
            </w:pPr>
            <w:r>
              <w:rPr>
                <w:b w:val="0"/>
                <w:i w:val="0"/>
                <w:color w:val="000000"/>
                <w:kern w:val="0"/>
                <w:sz w:val="21"/>
                <w:szCs w:val="21"/>
              </w:rPr>
              <w:t>县区</w:t>
            </w:r>
          </w:p>
        </w:tc>
      </w:tr>
    </w:tbl>
    <w:p>
      <w:pPr>
        <w:pStyle w:val="2"/>
        <w:spacing w:line="560" w:lineRule="exact"/>
        <w:ind w:firstLine="600" w:firstLineChars="200"/>
        <w:rPr>
          <w:rFonts w:eastAsia="仿宋"/>
          <w:i w:val="0"/>
          <w:sz w:val="30"/>
          <w:szCs w:val="30"/>
        </w:rPr>
      </w:pPr>
      <w:r>
        <w:rPr>
          <w:rFonts w:eastAsia="仿宋"/>
          <w:i w:val="0"/>
          <w:sz w:val="30"/>
          <w:szCs w:val="30"/>
        </w:rPr>
        <w:t>（三）项目预算执行情况</w:t>
      </w:r>
    </w:p>
    <w:p>
      <w:pPr>
        <w:spacing w:line="360" w:lineRule="auto"/>
        <w:ind w:firstLine="600" w:firstLineChars="200"/>
        <w:jc w:val="left"/>
        <w:rPr>
          <w:rFonts w:eastAsia="仿宋"/>
          <w:bCs/>
          <w:i w:val="0"/>
          <w:color w:val="auto"/>
          <w:sz w:val="30"/>
          <w:szCs w:val="30"/>
        </w:rPr>
      </w:pPr>
      <w:r>
        <w:rPr>
          <w:rFonts w:eastAsia="仿宋"/>
          <w:bCs/>
          <w:i w:val="0"/>
          <w:color w:val="auto"/>
          <w:sz w:val="30"/>
          <w:szCs w:val="30"/>
        </w:rPr>
        <w:t>资金安排情况；资金年初预算、年度调整、截至监控时间完成实际支出等情况。</w:t>
      </w:r>
    </w:p>
    <w:p>
      <w:pPr>
        <w:spacing w:line="360" w:lineRule="auto"/>
        <w:ind w:firstLine="600" w:firstLineChars="200"/>
        <w:jc w:val="left"/>
        <w:rPr>
          <w:rFonts w:eastAsia="仿宋"/>
          <w:b w:val="0"/>
          <w:i w:val="0"/>
          <w:sz w:val="30"/>
          <w:szCs w:val="30"/>
        </w:rPr>
      </w:pPr>
      <w:r>
        <w:rPr>
          <w:rFonts w:hint="eastAsia" w:eastAsia="仿宋"/>
          <w:b w:val="0"/>
          <w:i w:val="0"/>
          <w:sz w:val="30"/>
          <w:szCs w:val="30"/>
        </w:rPr>
        <w:t>本</w:t>
      </w:r>
      <w:r>
        <w:rPr>
          <w:rFonts w:eastAsia="仿宋"/>
          <w:b w:val="0"/>
          <w:i w:val="0"/>
          <w:sz w:val="30"/>
          <w:szCs w:val="30"/>
        </w:rPr>
        <w:t>项目资金预算支出500.00万元，下达资金500.00万元，实际到位资金500.00万元</w:t>
      </w:r>
      <w:r>
        <w:rPr>
          <w:rFonts w:hint="eastAsia" w:eastAsia="仿宋"/>
          <w:b w:val="0"/>
          <w:i w:val="0"/>
          <w:sz w:val="30"/>
          <w:szCs w:val="30"/>
        </w:rPr>
        <w:t>。</w:t>
      </w:r>
      <w:r>
        <w:rPr>
          <w:rFonts w:eastAsia="仿宋"/>
          <w:b w:val="0"/>
          <w:i w:val="0"/>
          <w:sz w:val="30"/>
          <w:szCs w:val="30"/>
          <w:highlight w:val="none"/>
        </w:rPr>
        <w:t>截至2024年</w:t>
      </w:r>
      <w:r>
        <w:rPr>
          <w:rFonts w:hint="eastAsia" w:eastAsia="仿宋"/>
          <w:b w:val="0"/>
          <w:i w:val="0"/>
          <w:sz w:val="30"/>
          <w:szCs w:val="30"/>
          <w:highlight w:val="none"/>
          <w:lang w:val="en-US" w:eastAsia="zh-CN"/>
        </w:rPr>
        <w:t>10</w:t>
      </w:r>
      <w:r>
        <w:rPr>
          <w:rFonts w:eastAsia="仿宋"/>
          <w:b w:val="0"/>
          <w:i w:val="0"/>
          <w:sz w:val="30"/>
          <w:szCs w:val="30"/>
          <w:highlight w:val="none"/>
        </w:rPr>
        <w:t>月</w:t>
      </w:r>
      <w:r>
        <w:rPr>
          <w:rFonts w:hint="eastAsia" w:eastAsia="仿宋"/>
          <w:b w:val="0"/>
          <w:i w:val="0"/>
          <w:sz w:val="30"/>
          <w:szCs w:val="30"/>
          <w:highlight w:val="none"/>
          <w:lang w:val="en-US" w:eastAsia="zh-CN"/>
        </w:rPr>
        <w:t>30</w:t>
      </w:r>
      <w:r>
        <w:rPr>
          <w:rFonts w:eastAsia="仿宋"/>
          <w:b w:val="0"/>
          <w:i w:val="0"/>
          <w:sz w:val="30"/>
          <w:szCs w:val="30"/>
          <w:highlight w:val="none"/>
        </w:rPr>
        <w:t>日，实际完成支出298.</w:t>
      </w:r>
      <w:r>
        <w:rPr>
          <w:rFonts w:hint="eastAsia" w:eastAsia="仿宋"/>
          <w:b w:val="0"/>
          <w:i w:val="0"/>
          <w:sz w:val="30"/>
          <w:szCs w:val="30"/>
          <w:highlight w:val="none"/>
          <w:lang w:val="en-US" w:eastAsia="zh-CN"/>
        </w:rPr>
        <w:t>9886</w:t>
      </w:r>
      <w:r>
        <w:rPr>
          <w:rFonts w:eastAsia="仿宋"/>
          <w:b w:val="0"/>
          <w:i w:val="0"/>
          <w:sz w:val="30"/>
          <w:szCs w:val="30"/>
          <w:highlight w:val="none"/>
        </w:rPr>
        <w:t>万元，预算执行率59.</w:t>
      </w:r>
      <w:r>
        <w:rPr>
          <w:rFonts w:hint="eastAsia" w:eastAsia="仿宋"/>
          <w:b w:val="0"/>
          <w:i w:val="0"/>
          <w:sz w:val="30"/>
          <w:szCs w:val="30"/>
          <w:highlight w:val="none"/>
          <w:lang w:val="en-US" w:eastAsia="zh-CN"/>
        </w:rPr>
        <w:t>8</w:t>
      </w:r>
      <w:r>
        <w:rPr>
          <w:rFonts w:eastAsia="仿宋"/>
          <w:b w:val="0"/>
          <w:i w:val="0"/>
          <w:sz w:val="30"/>
          <w:szCs w:val="30"/>
          <w:highlight w:val="none"/>
        </w:rPr>
        <w:t>%。</w:t>
      </w:r>
    </w:p>
    <w:p>
      <w:pPr>
        <w:pStyle w:val="2"/>
        <w:spacing w:line="560" w:lineRule="exact"/>
        <w:rPr>
          <w:rFonts w:eastAsia="仿宋"/>
          <w:i w:val="0"/>
          <w:sz w:val="32"/>
          <w:szCs w:val="32"/>
        </w:rPr>
      </w:pPr>
      <w:r>
        <w:rPr>
          <w:rFonts w:eastAsia="仿宋"/>
          <w:i w:val="0"/>
          <w:sz w:val="32"/>
          <w:szCs w:val="32"/>
        </w:rPr>
        <w:t>二、项目组织实施情况</w:t>
      </w:r>
    </w:p>
    <w:p>
      <w:pPr>
        <w:pStyle w:val="2"/>
        <w:spacing w:line="560" w:lineRule="exact"/>
        <w:ind w:firstLine="600" w:firstLineChars="200"/>
        <w:rPr>
          <w:rFonts w:eastAsia="仿宋"/>
          <w:i w:val="0"/>
          <w:sz w:val="30"/>
          <w:szCs w:val="30"/>
        </w:rPr>
      </w:pPr>
      <w:r>
        <w:rPr>
          <w:rFonts w:eastAsia="仿宋"/>
          <w:i w:val="0"/>
          <w:sz w:val="30"/>
          <w:szCs w:val="30"/>
        </w:rPr>
        <w:t>（一） 项目实施情况</w:t>
      </w:r>
    </w:p>
    <w:p>
      <w:pPr>
        <w:spacing w:line="360" w:lineRule="auto"/>
        <w:ind w:firstLine="600" w:firstLineChars="200"/>
        <w:rPr>
          <w:rFonts w:eastAsia="仿宋"/>
          <w:b w:val="0"/>
          <w:i w:val="0"/>
          <w:sz w:val="30"/>
          <w:szCs w:val="30"/>
        </w:rPr>
      </w:pPr>
      <w:r>
        <w:rPr>
          <w:rFonts w:hint="eastAsia" w:eastAsia="仿宋"/>
          <w:b w:val="0"/>
          <w:i w:val="0"/>
          <w:sz w:val="30"/>
          <w:szCs w:val="30"/>
        </w:rPr>
        <w:t>在制度建设方面，我局牵头组成领导小组，全面负责施工中的重大问题，各相关单位负责具体配合、实施，梁山镇人民政府、阳洼村民委员会参与、配合、监督，明确各自的权利与义务。本项目通过招投标确定了有资质的施工、监理单位，签订了相关施工、监理、质量保证合同、责任书，全面管理施工、监理等单位，建立了工作专群，同时不定期进行现场检查，以便及时解决施工过程中的各种问题，检查施工进度、施工质量、施工安全措施；控制工程进度、工程质量、工程安全、组织汇报、工程竣工验收、工程交付等；负责与地方政府、各部门的组织、协调、配合、沟通等。工程施工管理采用项目法人管理体制。施工、监理单位在工程现场设立项目部，做了五牌一图等，按项目管理要求负责工程施工组织、管理、监理工作，并接收项目领导小组、工程指挥部或项目办公室对施工全过程的指导、监督、检查，负责工程质量保修等。我局要求施工单位要加强施工安全管理，认真细致排查施工场地附近安全隐患，采取消除或防护措施，确保施工安全。防治工程地段原有工程设施需要保留的应纳入管理与维护范围之内，与新建的工程设施进行同步管理，并进行必要的检测、维护工作。工程竣工后移交当地有关部门后，当地有关部门应建立一套完整的制度，定期与不定期的对工程设施进行巡视、监测及维护。</w:t>
      </w:r>
    </w:p>
    <w:p>
      <w:pPr>
        <w:spacing w:line="360" w:lineRule="auto"/>
        <w:ind w:firstLine="600" w:firstLineChars="200"/>
        <w:rPr>
          <w:rFonts w:eastAsia="仿宋"/>
          <w:b w:val="0"/>
          <w:i w:val="0"/>
          <w:sz w:val="30"/>
          <w:szCs w:val="30"/>
        </w:rPr>
      </w:pPr>
      <w:r>
        <w:rPr>
          <w:rFonts w:hint="eastAsia" w:eastAsia="仿宋"/>
          <w:b w:val="0"/>
          <w:i w:val="0"/>
          <w:sz w:val="30"/>
          <w:szCs w:val="30"/>
        </w:rPr>
        <w:t>在项目管理方面，项目立项并下达资金后，我局锚定建设任务、紧盯工期，建立了项目工作群，同时按照“四不两直”进行现场突击检查，紧抓进度、质量和安全，项目实施按照既定计划推进，已完成关键节点任务，</w:t>
      </w:r>
      <w:r>
        <w:rPr>
          <w:rFonts w:hint="eastAsia" w:eastAsia="仿宋"/>
          <w:b w:val="0"/>
          <w:i w:val="0"/>
          <w:sz w:val="30"/>
          <w:szCs w:val="30"/>
          <w:highlight w:val="none"/>
        </w:rPr>
        <w:t>包括边坡加固和排水系统建设，整体进度保持在预期范围内。</w:t>
      </w:r>
      <w:r>
        <w:rPr>
          <w:rFonts w:hint="eastAsia" w:eastAsia="仿宋"/>
          <w:b w:val="0"/>
          <w:i w:val="0"/>
          <w:sz w:val="30"/>
          <w:szCs w:val="30"/>
        </w:rPr>
        <w:t>建设过程中，我局定期组织质量检查，确保所有工程符合安全和环保要求，未出现重大质量问题。</w:t>
      </w:r>
      <w:r>
        <w:rPr>
          <w:rFonts w:eastAsia="仿宋"/>
          <w:b w:val="0"/>
          <w:i w:val="0"/>
          <w:sz w:val="30"/>
          <w:szCs w:val="30"/>
        </w:rPr>
        <w:t>截至2024年</w:t>
      </w:r>
      <w:r>
        <w:rPr>
          <w:rFonts w:hint="eastAsia" w:eastAsia="仿宋"/>
          <w:b w:val="0"/>
          <w:i w:val="0"/>
          <w:sz w:val="30"/>
          <w:szCs w:val="30"/>
          <w:lang w:val="en-US" w:eastAsia="zh-CN"/>
        </w:rPr>
        <w:t>10</w:t>
      </w:r>
      <w:r>
        <w:rPr>
          <w:rFonts w:eastAsia="仿宋"/>
          <w:b w:val="0"/>
          <w:i w:val="0"/>
          <w:sz w:val="30"/>
          <w:szCs w:val="30"/>
        </w:rPr>
        <w:t>月30日完成的项目实施内容主要有：项目于2024年3月10日开工，完成工程量</w:t>
      </w:r>
      <w:r>
        <w:rPr>
          <w:rFonts w:hint="eastAsia" w:eastAsia="仿宋"/>
          <w:b w:val="0"/>
          <w:i w:val="0"/>
          <w:sz w:val="30"/>
          <w:szCs w:val="30"/>
          <w:lang w:val="en-US" w:eastAsia="zh-CN"/>
        </w:rPr>
        <w:t>80</w:t>
      </w:r>
      <w:r>
        <w:rPr>
          <w:rFonts w:eastAsia="仿宋"/>
          <w:b w:val="0"/>
          <w:i w:val="0"/>
          <w:sz w:val="30"/>
          <w:szCs w:val="30"/>
        </w:rPr>
        <w:t>%</w:t>
      </w:r>
      <w:r>
        <w:rPr>
          <w:b w:val="0"/>
          <w:i w:val="0"/>
          <w:sz w:val="28"/>
          <w:szCs w:val="28"/>
        </w:rPr>
        <w:t>。</w:t>
      </w:r>
      <w:r>
        <w:rPr>
          <w:rFonts w:eastAsia="仿宋"/>
          <w:b w:val="0"/>
          <w:i w:val="0"/>
          <w:sz w:val="30"/>
          <w:szCs w:val="30"/>
        </w:rPr>
        <w:t>项目整体形象进度</w:t>
      </w:r>
      <w:r>
        <w:rPr>
          <w:rFonts w:hint="eastAsia" w:eastAsia="仿宋"/>
          <w:b w:val="0"/>
          <w:i w:val="0"/>
          <w:sz w:val="30"/>
          <w:szCs w:val="30"/>
          <w:highlight w:val="none"/>
          <w:lang w:val="en-US" w:eastAsia="zh-CN"/>
        </w:rPr>
        <w:t>80</w:t>
      </w:r>
      <w:r>
        <w:rPr>
          <w:rFonts w:eastAsia="仿宋"/>
          <w:b w:val="0"/>
          <w:i w:val="0"/>
          <w:sz w:val="30"/>
          <w:szCs w:val="30"/>
          <w:highlight w:val="none"/>
        </w:rPr>
        <w:t>%。</w:t>
      </w:r>
    </w:p>
    <w:p>
      <w:pPr>
        <w:spacing w:line="360" w:lineRule="auto"/>
        <w:ind w:firstLine="600" w:firstLineChars="200"/>
        <w:rPr>
          <w:rFonts w:eastAsia="仿宋"/>
          <w:b w:val="0"/>
          <w:i w:val="0"/>
          <w:sz w:val="30"/>
          <w:szCs w:val="30"/>
        </w:rPr>
      </w:pPr>
      <w:r>
        <w:rPr>
          <w:rFonts w:hint="eastAsia" w:eastAsia="仿宋"/>
          <w:b w:val="0"/>
          <w:i w:val="0"/>
          <w:sz w:val="30"/>
          <w:szCs w:val="30"/>
        </w:rPr>
        <w:t>在财务管理方面，本项目资金使用透明，所有支出均有详细记录和票据支持，</w:t>
      </w:r>
      <w:r>
        <w:rPr>
          <w:rFonts w:eastAsia="仿宋"/>
          <w:b w:val="0"/>
          <w:i w:val="0"/>
          <w:sz w:val="30"/>
          <w:szCs w:val="30"/>
        </w:rPr>
        <w:t>项目所有资金实行专款专用，我局能够按照《甘肃省财政厅甘肃省自然资源厅关于印发&lt;甘肃省自然资源专项资金管理办法&gt;的通知》（甘财资环〔2020〕110号），建立项目管理台账，及时归集、完善项目资金有关文件和财务资料，充分发挥了对资金的监督管理作用，资金管理制度健全，资金使用审批手续规范。资金管理整体安全规范。</w:t>
      </w:r>
      <w:r>
        <w:rPr>
          <w:rFonts w:hint="eastAsia" w:eastAsia="仿宋"/>
          <w:b w:val="0"/>
          <w:i w:val="0"/>
          <w:sz w:val="30"/>
          <w:szCs w:val="30"/>
        </w:rPr>
        <w:t>项目资金主要用于项目施工、监理和设计事宜，确保了资金使用在项目核心领域，同时定期审核支出，确保资金合规使用。此外，根据项目进展及变更情况，后续将根据相关要求合理安排资金，确保项目如期完成。</w:t>
      </w:r>
      <w:r>
        <w:rPr>
          <w:rFonts w:hint="eastAsia" w:eastAsia="仿宋"/>
          <w:b w:val="0"/>
          <w:i w:val="0"/>
          <w:sz w:val="30"/>
          <w:szCs w:val="30"/>
          <w:highlight w:val="none"/>
        </w:rPr>
        <w:t>截止2024年</w:t>
      </w:r>
      <w:r>
        <w:rPr>
          <w:rFonts w:hint="eastAsia" w:eastAsia="仿宋"/>
          <w:b w:val="0"/>
          <w:i w:val="0"/>
          <w:sz w:val="30"/>
          <w:szCs w:val="30"/>
          <w:highlight w:val="none"/>
          <w:lang w:val="en-US" w:eastAsia="zh-CN"/>
        </w:rPr>
        <w:t>10</w:t>
      </w:r>
      <w:r>
        <w:rPr>
          <w:rFonts w:hint="eastAsia" w:eastAsia="仿宋"/>
          <w:b w:val="0"/>
          <w:i w:val="0"/>
          <w:sz w:val="30"/>
          <w:szCs w:val="30"/>
          <w:highlight w:val="none"/>
        </w:rPr>
        <w:t>月</w:t>
      </w:r>
      <w:r>
        <w:rPr>
          <w:rFonts w:hint="eastAsia" w:eastAsia="仿宋"/>
          <w:b w:val="0"/>
          <w:i w:val="0"/>
          <w:sz w:val="30"/>
          <w:szCs w:val="30"/>
          <w:highlight w:val="none"/>
          <w:lang w:val="en-US" w:eastAsia="zh-CN"/>
        </w:rPr>
        <w:t>30</w:t>
      </w:r>
      <w:r>
        <w:rPr>
          <w:rFonts w:hint="eastAsia" w:eastAsia="仿宋"/>
          <w:b w:val="0"/>
          <w:i w:val="0"/>
          <w:sz w:val="30"/>
          <w:szCs w:val="30"/>
          <w:highlight w:val="none"/>
        </w:rPr>
        <w:t>日，项目预算执行率为59.</w:t>
      </w:r>
      <w:r>
        <w:rPr>
          <w:rFonts w:hint="eastAsia" w:eastAsia="仿宋"/>
          <w:b w:val="0"/>
          <w:i w:val="0"/>
          <w:sz w:val="30"/>
          <w:szCs w:val="30"/>
          <w:highlight w:val="none"/>
          <w:lang w:val="en-US" w:eastAsia="zh-CN"/>
        </w:rPr>
        <w:t>8</w:t>
      </w:r>
      <w:r>
        <w:rPr>
          <w:rFonts w:hint="eastAsia" w:eastAsia="仿宋"/>
          <w:b w:val="0"/>
          <w:i w:val="0"/>
          <w:sz w:val="30"/>
          <w:szCs w:val="30"/>
          <w:highlight w:val="none"/>
        </w:rPr>
        <w:t>%，实际支出298.</w:t>
      </w:r>
      <w:r>
        <w:rPr>
          <w:rFonts w:hint="eastAsia" w:eastAsia="仿宋"/>
          <w:b w:val="0"/>
          <w:i w:val="0"/>
          <w:sz w:val="30"/>
          <w:szCs w:val="30"/>
          <w:highlight w:val="none"/>
          <w:lang w:val="en-US" w:eastAsia="zh-CN"/>
        </w:rPr>
        <w:t>9886</w:t>
      </w:r>
      <w:r>
        <w:rPr>
          <w:rFonts w:hint="eastAsia" w:eastAsia="仿宋"/>
          <w:b w:val="0"/>
          <w:i w:val="0"/>
          <w:sz w:val="30"/>
          <w:szCs w:val="30"/>
          <w:highlight w:val="none"/>
        </w:rPr>
        <w:t>万元，</w:t>
      </w:r>
      <w:r>
        <w:rPr>
          <w:rFonts w:hint="eastAsia" w:eastAsia="仿宋"/>
          <w:b w:val="0"/>
          <w:i w:val="0"/>
          <w:sz w:val="30"/>
          <w:szCs w:val="30"/>
        </w:rPr>
        <w:t>未使用资金约201.</w:t>
      </w:r>
      <w:r>
        <w:rPr>
          <w:rFonts w:hint="eastAsia" w:eastAsia="仿宋"/>
          <w:b w:val="0"/>
          <w:i w:val="0"/>
          <w:sz w:val="30"/>
          <w:szCs w:val="30"/>
          <w:lang w:val="en-US" w:eastAsia="zh-CN"/>
        </w:rPr>
        <w:t>0114</w:t>
      </w:r>
      <w:r>
        <w:rPr>
          <w:rFonts w:hint="eastAsia" w:eastAsia="仿宋"/>
          <w:b w:val="0"/>
          <w:i w:val="0"/>
          <w:sz w:val="30"/>
          <w:szCs w:val="30"/>
        </w:rPr>
        <w:t>万元。</w:t>
      </w:r>
    </w:p>
    <w:p>
      <w:pPr>
        <w:pStyle w:val="2"/>
        <w:spacing w:line="560" w:lineRule="exact"/>
        <w:ind w:firstLine="600" w:firstLineChars="200"/>
        <w:rPr>
          <w:rFonts w:eastAsia="仿宋"/>
          <w:i w:val="0"/>
          <w:sz w:val="30"/>
          <w:szCs w:val="30"/>
        </w:rPr>
      </w:pPr>
      <w:r>
        <w:rPr>
          <w:rFonts w:eastAsia="仿宋"/>
          <w:i w:val="0"/>
          <w:sz w:val="30"/>
          <w:szCs w:val="30"/>
        </w:rPr>
        <w:t>（二）项目绩效目标完成情况</w:t>
      </w:r>
    </w:p>
    <w:p>
      <w:pPr>
        <w:spacing w:after="0" w:line="360" w:lineRule="auto"/>
        <w:ind w:firstLine="600" w:firstLineChars="200"/>
        <w:rPr>
          <w:rFonts w:eastAsia="仿宋"/>
          <w:b w:val="0"/>
          <w:i w:val="0"/>
          <w:sz w:val="30"/>
          <w:szCs w:val="30"/>
        </w:rPr>
      </w:pPr>
      <w:r>
        <w:rPr>
          <w:rFonts w:hint="eastAsia" w:eastAsia="仿宋"/>
          <w:b w:val="0"/>
          <w:i w:val="0"/>
          <w:sz w:val="30"/>
          <w:szCs w:val="30"/>
        </w:rPr>
        <w:t xml:space="preserve">1. </w:t>
      </w:r>
      <w:r>
        <w:rPr>
          <w:rFonts w:eastAsia="仿宋"/>
          <w:b w:val="0"/>
          <w:i w:val="0"/>
          <w:sz w:val="30"/>
          <w:szCs w:val="30"/>
        </w:rPr>
        <w:t>单位绩效运行监控工作组织管理情况</w:t>
      </w:r>
    </w:p>
    <w:p>
      <w:pPr>
        <w:spacing w:after="0" w:line="360" w:lineRule="auto"/>
        <w:ind w:firstLine="567" w:firstLineChars="189"/>
        <w:rPr>
          <w:rFonts w:eastAsia="仿宋"/>
          <w:sz w:val="30"/>
          <w:szCs w:val="30"/>
        </w:rPr>
      </w:pPr>
      <w:r>
        <w:rPr>
          <w:rFonts w:eastAsia="仿宋"/>
          <w:b w:val="0"/>
          <w:i w:val="0"/>
          <w:sz w:val="30"/>
          <w:szCs w:val="30"/>
        </w:rPr>
        <w:t>根据《中共甘肃省委 甘肃省人民政府关于全面实施预算绩效管理实施意见》（甘发〔2018〕32号）、《甘肃省省级部门预算绩效运行监控管理办法》及《甘肃省自然资源厅预算绩效管理实施细则》（甘资发〔2024〕46号）的要求。对下达的2024年中央自然灾害防治体系建设资金收支情况、张家川县梁山镇不稳定斜坡治理工程的实施情况、完成情况及绩效监控工作进行了专项检查，并和我局财务股联系，查阅了与本项目资金收付相关的会计凭证。核实上述情况后形成项目支出绩效运行监控报告。</w:t>
      </w:r>
    </w:p>
    <w:p>
      <w:pPr>
        <w:spacing w:after="0" w:line="360" w:lineRule="auto"/>
        <w:ind w:firstLine="600" w:firstLineChars="200"/>
        <w:rPr>
          <w:rFonts w:eastAsia="仿宋"/>
          <w:b w:val="0"/>
          <w:i w:val="0"/>
          <w:sz w:val="30"/>
          <w:szCs w:val="30"/>
        </w:rPr>
      </w:pPr>
      <w:r>
        <w:rPr>
          <w:rFonts w:hint="eastAsia" w:eastAsia="仿宋"/>
          <w:b w:val="0"/>
          <w:i w:val="0"/>
          <w:sz w:val="30"/>
          <w:szCs w:val="30"/>
        </w:rPr>
        <w:t xml:space="preserve">2. </w:t>
      </w:r>
      <w:r>
        <w:rPr>
          <w:rFonts w:eastAsia="仿宋"/>
          <w:b w:val="0"/>
          <w:i w:val="0"/>
          <w:sz w:val="30"/>
          <w:szCs w:val="30"/>
        </w:rPr>
        <w:t>项目资金到位情况分析</w:t>
      </w:r>
    </w:p>
    <w:p>
      <w:pPr>
        <w:spacing w:after="0" w:line="360" w:lineRule="auto"/>
        <w:ind w:firstLine="600" w:firstLineChars="200"/>
        <w:rPr>
          <w:rFonts w:eastAsia="仿宋"/>
          <w:b w:val="0"/>
          <w:i w:val="0"/>
          <w:sz w:val="30"/>
          <w:szCs w:val="30"/>
        </w:rPr>
      </w:pPr>
      <w:r>
        <w:rPr>
          <w:rFonts w:eastAsia="仿宋"/>
          <w:b w:val="0"/>
          <w:i w:val="0"/>
          <w:sz w:val="30"/>
          <w:szCs w:val="30"/>
        </w:rPr>
        <w:t>省财政厅于2023年12月将项目资金下达至张家川县财政局。根据项目安排情况，张家川县财政局于2023年12月收款入账。总体来看，项目资金能够及时到位，未发现截留挪用现象。</w:t>
      </w:r>
    </w:p>
    <w:p>
      <w:pPr>
        <w:spacing w:after="0" w:line="360" w:lineRule="auto"/>
        <w:ind w:firstLine="600" w:firstLineChars="200"/>
        <w:rPr>
          <w:rFonts w:eastAsia="仿宋"/>
          <w:b w:val="0"/>
          <w:i w:val="0"/>
          <w:sz w:val="30"/>
          <w:szCs w:val="30"/>
        </w:rPr>
      </w:pPr>
      <w:r>
        <w:rPr>
          <w:rFonts w:hint="eastAsia" w:eastAsia="仿宋"/>
          <w:b w:val="0"/>
          <w:i w:val="0"/>
          <w:sz w:val="30"/>
          <w:szCs w:val="30"/>
        </w:rPr>
        <w:t xml:space="preserve">3. </w:t>
      </w:r>
      <w:r>
        <w:rPr>
          <w:rFonts w:eastAsia="仿宋"/>
          <w:b w:val="0"/>
          <w:i w:val="0"/>
          <w:sz w:val="30"/>
          <w:szCs w:val="30"/>
        </w:rPr>
        <w:t>项目资金执行情况分析</w:t>
      </w:r>
    </w:p>
    <w:p>
      <w:pPr>
        <w:spacing w:after="0" w:line="360" w:lineRule="auto"/>
        <w:ind w:firstLine="600" w:firstLineChars="200"/>
        <w:rPr>
          <w:rFonts w:eastAsia="仿宋"/>
          <w:b w:val="0"/>
          <w:i w:val="0"/>
          <w:sz w:val="30"/>
          <w:szCs w:val="30"/>
        </w:rPr>
      </w:pPr>
      <w:r>
        <w:rPr>
          <w:rFonts w:eastAsia="仿宋"/>
          <w:b w:val="0"/>
          <w:i w:val="0"/>
          <w:sz w:val="30"/>
          <w:szCs w:val="30"/>
        </w:rPr>
        <w:t>截至2024年</w:t>
      </w:r>
      <w:r>
        <w:rPr>
          <w:rFonts w:hint="eastAsia" w:eastAsia="仿宋"/>
          <w:b w:val="0"/>
          <w:i w:val="0"/>
          <w:sz w:val="30"/>
          <w:szCs w:val="30"/>
          <w:lang w:val="en-US" w:eastAsia="zh-CN"/>
        </w:rPr>
        <w:t>10</w:t>
      </w:r>
      <w:r>
        <w:rPr>
          <w:rFonts w:eastAsia="仿宋"/>
          <w:b w:val="0"/>
          <w:i w:val="0"/>
          <w:sz w:val="30"/>
          <w:szCs w:val="30"/>
        </w:rPr>
        <w:t>月30日，项目资金预算支出500.00万元，下达资金500.00万元，实际到位资金500.00万元，实际完成支出298.</w:t>
      </w:r>
      <w:r>
        <w:rPr>
          <w:rFonts w:hint="eastAsia" w:eastAsia="仿宋"/>
          <w:b w:val="0"/>
          <w:i w:val="0"/>
          <w:sz w:val="30"/>
          <w:szCs w:val="30"/>
          <w:lang w:val="en-US" w:eastAsia="zh-CN"/>
        </w:rPr>
        <w:t>9886</w:t>
      </w:r>
      <w:r>
        <w:rPr>
          <w:rFonts w:eastAsia="仿宋"/>
          <w:b w:val="0"/>
          <w:i w:val="0"/>
          <w:sz w:val="30"/>
          <w:szCs w:val="30"/>
        </w:rPr>
        <w:t>万元，预算执行率59.</w:t>
      </w:r>
      <w:r>
        <w:rPr>
          <w:rFonts w:hint="eastAsia" w:eastAsia="仿宋"/>
          <w:b w:val="0"/>
          <w:i w:val="0"/>
          <w:sz w:val="30"/>
          <w:szCs w:val="30"/>
          <w:lang w:val="en-US" w:eastAsia="zh-CN"/>
        </w:rPr>
        <w:t>8</w:t>
      </w:r>
      <w:r>
        <w:rPr>
          <w:rFonts w:eastAsia="仿宋"/>
          <w:b w:val="0"/>
          <w:i w:val="0"/>
          <w:sz w:val="30"/>
          <w:szCs w:val="30"/>
        </w:rPr>
        <w:t>%。</w:t>
      </w:r>
    </w:p>
    <w:p>
      <w:pPr>
        <w:spacing w:after="0" w:line="360" w:lineRule="auto"/>
        <w:ind w:firstLine="600" w:firstLineChars="200"/>
        <w:rPr>
          <w:rFonts w:eastAsia="仿宋"/>
          <w:b w:val="0"/>
          <w:i w:val="0"/>
          <w:sz w:val="30"/>
          <w:szCs w:val="30"/>
        </w:rPr>
      </w:pPr>
      <w:r>
        <w:rPr>
          <w:rFonts w:hint="eastAsia" w:eastAsia="仿宋"/>
          <w:b w:val="0"/>
          <w:i w:val="0"/>
          <w:sz w:val="30"/>
          <w:szCs w:val="30"/>
        </w:rPr>
        <w:t xml:space="preserve">4. </w:t>
      </w:r>
      <w:r>
        <w:rPr>
          <w:rFonts w:eastAsia="仿宋"/>
          <w:b w:val="0"/>
          <w:i w:val="0"/>
          <w:sz w:val="30"/>
          <w:szCs w:val="30"/>
        </w:rPr>
        <w:t>绩效目标完成情况分析</w:t>
      </w:r>
    </w:p>
    <w:p>
      <w:pPr>
        <w:spacing w:after="0" w:line="360" w:lineRule="auto"/>
        <w:ind w:firstLine="600" w:firstLineChars="200"/>
        <w:rPr>
          <w:rFonts w:eastAsia="仿宋"/>
          <w:i w:val="0"/>
          <w:sz w:val="30"/>
          <w:szCs w:val="30"/>
          <w:highlight w:val="none"/>
        </w:rPr>
      </w:pPr>
      <w:r>
        <w:rPr>
          <w:rFonts w:eastAsia="仿宋"/>
          <w:b w:val="0"/>
          <w:i w:val="0"/>
          <w:sz w:val="30"/>
          <w:szCs w:val="30"/>
          <w:highlight w:val="none"/>
        </w:rPr>
        <w:t>截至2024年</w:t>
      </w:r>
      <w:r>
        <w:rPr>
          <w:rFonts w:hint="eastAsia" w:eastAsia="仿宋"/>
          <w:b w:val="0"/>
          <w:i w:val="0"/>
          <w:sz w:val="30"/>
          <w:szCs w:val="30"/>
          <w:highlight w:val="none"/>
          <w:lang w:val="en-US" w:eastAsia="zh-CN"/>
        </w:rPr>
        <w:t>10</w:t>
      </w:r>
      <w:r>
        <w:rPr>
          <w:rFonts w:eastAsia="仿宋"/>
          <w:b w:val="0"/>
          <w:i w:val="0"/>
          <w:sz w:val="30"/>
          <w:szCs w:val="30"/>
          <w:highlight w:val="none"/>
        </w:rPr>
        <w:t>月</w:t>
      </w:r>
      <w:r>
        <w:rPr>
          <w:rFonts w:hint="eastAsia" w:eastAsia="仿宋"/>
          <w:b w:val="0"/>
          <w:i w:val="0"/>
          <w:sz w:val="30"/>
          <w:szCs w:val="30"/>
          <w:highlight w:val="none"/>
          <w:lang w:val="en-US" w:eastAsia="zh-CN"/>
        </w:rPr>
        <w:t>30</w:t>
      </w:r>
      <w:r>
        <w:rPr>
          <w:rFonts w:eastAsia="仿宋"/>
          <w:b w:val="0"/>
          <w:i w:val="0"/>
          <w:sz w:val="30"/>
          <w:szCs w:val="30"/>
          <w:highlight w:val="none"/>
        </w:rPr>
        <w:t>日，本项目绩效目标完成情况分析如下：</w:t>
      </w:r>
    </w:p>
    <w:p>
      <w:pPr>
        <w:spacing w:after="0" w:line="360" w:lineRule="auto"/>
        <w:ind w:firstLine="600" w:firstLineChars="200"/>
        <w:rPr>
          <w:rFonts w:eastAsia="仿宋"/>
          <w:b w:val="0"/>
          <w:i w:val="0"/>
          <w:sz w:val="30"/>
          <w:szCs w:val="30"/>
        </w:rPr>
      </w:pPr>
      <w:r>
        <w:rPr>
          <w:rFonts w:hint="eastAsia" w:eastAsia="仿宋"/>
          <w:b w:val="0"/>
          <w:i w:val="0"/>
          <w:sz w:val="30"/>
          <w:szCs w:val="30"/>
        </w:rPr>
        <w:t>（1）</w:t>
      </w:r>
      <w:r>
        <w:rPr>
          <w:rFonts w:eastAsia="仿宋"/>
          <w:b w:val="0"/>
          <w:i w:val="0"/>
          <w:sz w:val="30"/>
          <w:szCs w:val="30"/>
        </w:rPr>
        <w:t>产出指标完成情况分析</w:t>
      </w:r>
    </w:p>
    <w:p>
      <w:pPr>
        <w:spacing w:after="0" w:line="360" w:lineRule="auto"/>
        <w:ind w:firstLine="600" w:firstLineChars="200"/>
        <w:rPr>
          <w:rFonts w:eastAsia="仿宋"/>
          <w:b w:val="0"/>
          <w:i w:val="0"/>
          <w:sz w:val="30"/>
          <w:szCs w:val="30"/>
        </w:rPr>
      </w:pPr>
      <w:r>
        <w:rPr>
          <w:rFonts w:hint="eastAsia" w:ascii="宋体" w:hAnsi="宋体" w:cs="宋体"/>
          <w:b w:val="0"/>
          <w:i w:val="0"/>
          <w:sz w:val="30"/>
          <w:szCs w:val="30"/>
        </w:rPr>
        <w:t>①</w:t>
      </w:r>
      <w:r>
        <w:rPr>
          <w:rFonts w:eastAsia="仿宋"/>
          <w:b w:val="0"/>
          <w:i w:val="0"/>
          <w:sz w:val="30"/>
          <w:szCs w:val="30"/>
        </w:rPr>
        <w:t>数量指标</w:t>
      </w:r>
    </w:p>
    <w:p>
      <w:pPr>
        <w:spacing w:after="0" w:line="360" w:lineRule="auto"/>
        <w:ind w:firstLine="600" w:firstLineChars="200"/>
        <w:rPr>
          <w:rFonts w:eastAsia="仿宋"/>
          <w:b w:val="0"/>
          <w:i w:val="0"/>
          <w:sz w:val="30"/>
          <w:szCs w:val="30"/>
          <w:highlight w:val="none"/>
        </w:rPr>
      </w:pPr>
      <w:r>
        <w:rPr>
          <w:rFonts w:eastAsia="仿宋"/>
          <w:b w:val="0"/>
          <w:i w:val="0"/>
          <w:sz w:val="30"/>
          <w:szCs w:val="30"/>
        </w:rPr>
        <w:t>地质灾害综合治理项目1个。项目按照项目施工图设计正常开展，目前处于现场施工阶段，</w:t>
      </w:r>
      <w:r>
        <w:rPr>
          <w:rFonts w:eastAsia="仿宋"/>
          <w:b w:val="0"/>
          <w:i w:val="0"/>
          <w:sz w:val="30"/>
          <w:szCs w:val="30"/>
          <w:highlight w:val="none"/>
        </w:rPr>
        <w:t>进度</w:t>
      </w:r>
      <w:r>
        <w:rPr>
          <w:rFonts w:hint="eastAsia" w:eastAsia="仿宋"/>
          <w:b w:val="0"/>
          <w:i w:val="0"/>
          <w:sz w:val="30"/>
          <w:szCs w:val="30"/>
          <w:highlight w:val="none"/>
          <w:lang w:val="en-US" w:eastAsia="zh-CN"/>
        </w:rPr>
        <w:t>80</w:t>
      </w:r>
      <w:r>
        <w:rPr>
          <w:rFonts w:eastAsia="仿宋"/>
          <w:b w:val="0"/>
          <w:i w:val="0"/>
          <w:sz w:val="30"/>
          <w:szCs w:val="30"/>
          <w:highlight w:val="none"/>
        </w:rPr>
        <w:t>.00%。实际按进度折算完成0.</w:t>
      </w:r>
      <w:r>
        <w:rPr>
          <w:rFonts w:hint="eastAsia" w:eastAsia="仿宋"/>
          <w:b w:val="0"/>
          <w:i w:val="0"/>
          <w:sz w:val="30"/>
          <w:szCs w:val="30"/>
          <w:highlight w:val="none"/>
          <w:lang w:val="en-US" w:eastAsia="zh-CN"/>
        </w:rPr>
        <w:t>8</w:t>
      </w:r>
      <w:r>
        <w:rPr>
          <w:rFonts w:eastAsia="仿宋"/>
          <w:b w:val="0"/>
          <w:i w:val="0"/>
          <w:sz w:val="30"/>
          <w:szCs w:val="30"/>
          <w:highlight w:val="none"/>
        </w:rPr>
        <w:t>个</w:t>
      </w:r>
    </w:p>
    <w:p>
      <w:pPr>
        <w:spacing w:after="0" w:line="360" w:lineRule="auto"/>
        <w:ind w:firstLine="600" w:firstLineChars="200"/>
        <w:rPr>
          <w:rFonts w:eastAsia="仿宋"/>
          <w:b w:val="0"/>
          <w:i w:val="0"/>
          <w:sz w:val="30"/>
          <w:szCs w:val="30"/>
          <w:highlight w:val="none"/>
        </w:rPr>
      </w:pPr>
      <w:r>
        <w:rPr>
          <w:rFonts w:eastAsia="仿宋"/>
          <w:b w:val="0"/>
          <w:i w:val="0"/>
          <w:sz w:val="30"/>
          <w:szCs w:val="30"/>
          <w:highlight w:val="none"/>
        </w:rPr>
        <w:t>治理工程保护财产8800万元，按</w:t>
      </w:r>
      <w:r>
        <w:rPr>
          <w:rFonts w:hint="eastAsia" w:eastAsia="仿宋"/>
          <w:b w:val="0"/>
          <w:i w:val="0"/>
          <w:sz w:val="30"/>
          <w:szCs w:val="30"/>
          <w:highlight w:val="none"/>
          <w:lang w:val="en-US" w:eastAsia="zh-CN"/>
        </w:rPr>
        <w:t>80</w:t>
      </w:r>
      <w:r>
        <w:rPr>
          <w:rFonts w:eastAsia="仿宋"/>
          <w:b w:val="0"/>
          <w:i w:val="0"/>
          <w:sz w:val="30"/>
          <w:szCs w:val="30"/>
          <w:highlight w:val="none"/>
        </w:rPr>
        <w:t>.00%进度折算完成</w:t>
      </w:r>
      <w:r>
        <w:rPr>
          <w:rFonts w:hint="eastAsia" w:eastAsia="仿宋"/>
          <w:b w:val="0"/>
          <w:i w:val="0"/>
          <w:sz w:val="30"/>
          <w:szCs w:val="30"/>
          <w:highlight w:val="none"/>
          <w:lang w:val="en-US" w:eastAsia="zh-CN"/>
        </w:rPr>
        <w:t>7040</w:t>
      </w:r>
      <w:r>
        <w:rPr>
          <w:rFonts w:eastAsia="仿宋"/>
          <w:b w:val="0"/>
          <w:i w:val="0"/>
          <w:sz w:val="30"/>
          <w:szCs w:val="30"/>
          <w:highlight w:val="none"/>
        </w:rPr>
        <w:t>万元。</w:t>
      </w:r>
    </w:p>
    <w:p>
      <w:pPr>
        <w:spacing w:after="0" w:line="360" w:lineRule="auto"/>
        <w:ind w:firstLine="600" w:firstLineChars="200"/>
        <w:rPr>
          <w:rFonts w:eastAsia="仿宋"/>
          <w:b w:val="0"/>
          <w:i w:val="0"/>
          <w:sz w:val="30"/>
          <w:szCs w:val="30"/>
          <w:highlight w:val="none"/>
        </w:rPr>
      </w:pPr>
      <w:r>
        <w:rPr>
          <w:rFonts w:eastAsia="仿宋"/>
          <w:b w:val="0"/>
          <w:i w:val="0"/>
          <w:sz w:val="30"/>
          <w:szCs w:val="30"/>
          <w:highlight w:val="none"/>
        </w:rPr>
        <w:t>治理工程保护人数1130人，按</w:t>
      </w:r>
      <w:r>
        <w:rPr>
          <w:rFonts w:hint="eastAsia" w:eastAsia="仿宋"/>
          <w:b w:val="0"/>
          <w:i w:val="0"/>
          <w:sz w:val="30"/>
          <w:szCs w:val="30"/>
          <w:highlight w:val="none"/>
          <w:lang w:val="en-US" w:eastAsia="zh-CN"/>
        </w:rPr>
        <w:t>80</w:t>
      </w:r>
      <w:r>
        <w:rPr>
          <w:rFonts w:eastAsia="仿宋"/>
          <w:b w:val="0"/>
          <w:i w:val="0"/>
          <w:sz w:val="30"/>
          <w:szCs w:val="30"/>
          <w:highlight w:val="none"/>
        </w:rPr>
        <w:t>.00%进度折算完成</w:t>
      </w:r>
      <w:r>
        <w:rPr>
          <w:rFonts w:hint="eastAsia" w:eastAsia="仿宋"/>
          <w:b w:val="0"/>
          <w:i w:val="0"/>
          <w:sz w:val="30"/>
          <w:szCs w:val="30"/>
          <w:highlight w:val="none"/>
          <w:lang w:val="en-US" w:eastAsia="zh-CN"/>
        </w:rPr>
        <w:t>904</w:t>
      </w:r>
      <w:r>
        <w:rPr>
          <w:rFonts w:eastAsia="仿宋"/>
          <w:b w:val="0"/>
          <w:i w:val="0"/>
          <w:sz w:val="30"/>
          <w:szCs w:val="30"/>
          <w:highlight w:val="none"/>
        </w:rPr>
        <w:t>人。</w:t>
      </w:r>
    </w:p>
    <w:p>
      <w:pPr>
        <w:spacing w:after="0" w:line="360" w:lineRule="auto"/>
        <w:ind w:firstLine="600" w:firstLineChars="200"/>
        <w:rPr>
          <w:rFonts w:eastAsia="仿宋"/>
          <w:b w:val="0"/>
          <w:i w:val="0"/>
          <w:sz w:val="30"/>
          <w:szCs w:val="30"/>
          <w:highlight w:val="none"/>
        </w:rPr>
      </w:pPr>
      <w:r>
        <w:rPr>
          <w:rFonts w:hint="eastAsia" w:ascii="宋体" w:hAnsi="宋体" w:cs="宋体"/>
          <w:b w:val="0"/>
          <w:i w:val="0"/>
          <w:sz w:val="30"/>
          <w:szCs w:val="30"/>
          <w:highlight w:val="none"/>
        </w:rPr>
        <w:t>②</w:t>
      </w:r>
      <w:r>
        <w:rPr>
          <w:rFonts w:eastAsia="仿宋"/>
          <w:b w:val="0"/>
          <w:i w:val="0"/>
          <w:sz w:val="30"/>
          <w:szCs w:val="30"/>
          <w:highlight w:val="none"/>
        </w:rPr>
        <w:t>质量指标</w:t>
      </w:r>
    </w:p>
    <w:p>
      <w:pPr>
        <w:spacing w:after="0" w:line="360" w:lineRule="auto"/>
        <w:ind w:firstLine="600" w:firstLineChars="200"/>
        <w:rPr>
          <w:rFonts w:eastAsia="仿宋"/>
          <w:b w:val="0"/>
          <w:i w:val="0"/>
          <w:sz w:val="30"/>
          <w:szCs w:val="30"/>
        </w:rPr>
      </w:pPr>
      <w:r>
        <w:rPr>
          <w:rFonts w:eastAsia="仿宋"/>
          <w:b w:val="0"/>
          <w:i w:val="0"/>
          <w:sz w:val="30"/>
          <w:szCs w:val="30"/>
        </w:rPr>
        <w:t>项目验收合格率目标值为100.00%，截至2024年</w:t>
      </w:r>
      <w:r>
        <w:rPr>
          <w:rFonts w:hint="eastAsia" w:eastAsia="仿宋"/>
          <w:b w:val="0"/>
          <w:i w:val="0"/>
          <w:sz w:val="30"/>
          <w:szCs w:val="30"/>
          <w:lang w:val="en-US" w:eastAsia="zh-CN"/>
        </w:rPr>
        <w:t>10</w:t>
      </w:r>
      <w:r>
        <w:rPr>
          <w:rFonts w:eastAsia="仿宋"/>
          <w:b w:val="0"/>
          <w:i w:val="0"/>
          <w:sz w:val="30"/>
          <w:szCs w:val="30"/>
        </w:rPr>
        <w:t>月</w:t>
      </w:r>
      <w:r>
        <w:rPr>
          <w:rFonts w:hint="eastAsia" w:eastAsia="仿宋"/>
          <w:b w:val="0"/>
          <w:i w:val="0"/>
          <w:sz w:val="30"/>
          <w:szCs w:val="30"/>
          <w:lang w:val="en-US" w:eastAsia="zh-CN"/>
        </w:rPr>
        <w:t>30</w:t>
      </w:r>
      <w:r>
        <w:rPr>
          <w:rFonts w:eastAsia="仿宋"/>
          <w:b w:val="0"/>
          <w:i w:val="0"/>
          <w:sz w:val="30"/>
          <w:szCs w:val="30"/>
        </w:rPr>
        <w:t>日，项目按照工作设计正常开展，还没有达到项目验收阶段。</w:t>
      </w:r>
    </w:p>
    <w:p>
      <w:pPr>
        <w:spacing w:after="0" w:line="360" w:lineRule="auto"/>
        <w:ind w:firstLine="600" w:firstLineChars="200"/>
        <w:rPr>
          <w:rFonts w:eastAsia="仿宋"/>
          <w:b w:val="0"/>
          <w:i w:val="0"/>
          <w:sz w:val="30"/>
          <w:szCs w:val="30"/>
        </w:rPr>
      </w:pPr>
      <w:r>
        <w:rPr>
          <w:rFonts w:hint="eastAsia" w:ascii="宋体" w:hAnsi="宋体" w:cs="宋体"/>
          <w:b w:val="0"/>
          <w:i w:val="0"/>
          <w:sz w:val="30"/>
          <w:szCs w:val="30"/>
        </w:rPr>
        <w:t>③</w:t>
      </w:r>
      <w:r>
        <w:rPr>
          <w:rFonts w:eastAsia="仿宋"/>
          <w:b w:val="0"/>
          <w:i w:val="0"/>
          <w:sz w:val="30"/>
          <w:szCs w:val="30"/>
        </w:rPr>
        <w:t>时效指标</w:t>
      </w:r>
    </w:p>
    <w:p>
      <w:pPr>
        <w:spacing w:after="0" w:line="360" w:lineRule="auto"/>
        <w:ind w:firstLine="600" w:firstLineChars="200"/>
        <w:rPr>
          <w:rFonts w:eastAsia="仿宋"/>
          <w:b w:val="0"/>
          <w:i w:val="0"/>
          <w:sz w:val="30"/>
          <w:szCs w:val="30"/>
        </w:rPr>
      </w:pPr>
      <w:r>
        <w:rPr>
          <w:rFonts w:eastAsia="仿宋"/>
          <w:b w:val="0"/>
          <w:i w:val="0"/>
          <w:sz w:val="30"/>
          <w:szCs w:val="30"/>
        </w:rPr>
        <w:t>项目按时完成率100.00%，按照工程施工图设计正常开展，按时完成率100.00%。</w:t>
      </w:r>
    </w:p>
    <w:p>
      <w:pPr>
        <w:spacing w:after="0" w:line="360" w:lineRule="auto"/>
        <w:ind w:firstLine="600" w:firstLineChars="200"/>
        <w:rPr>
          <w:rFonts w:eastAsia="仿宋"/>
          <w:b w:val="0"/>
          <w:i w:val="0"/>
          <w:sz w:val="30"/>
          <w:szCs w:val="30"/>
        </w:rPr>
      </w:pPr>
      <w:r>
        <w:rPr>
          <w:rFonts w:hint="eastAsia" w:eastAsia="仿宋"/>
          <w:b w:val="0"/>
          <w:i w:val="0"/>
          <w:sz w:val="30"/>
          <w:szCs w:val="30"/>
        </w:rPr>
        <w:t>（2）</w:t>
      </w:r>
      <w:r>
        <w:rPr>
          <w:rFonts w:eastAsia="仿宋"/>
          <w:b w:val="0"/>
          <w:i w:val="0"/>
          <w:sz w:val="30"/>
          <w:szCs w:val="30"/>
        </w:rPr>
        <w:t>效果指标完成情况分析</w:t>
      </w:r>
    </w:p>
    <w:p>
      <w:pPr>
        <w:spacing w:after="0" w:line="360" w:lineRule="auto"/>
        <w:ind w:firstLine="600" w:firstLineChars="200"/>
        <w:rPr>
          <w:rFonts w:eastAsia="仿宋"/>
          <w:b w:val="0"/>
          <w:i w:val="0"/>
          <w:sz w:val="30"/>
          <w:szCs w:val="30"/>
        </w:rPr>
      </w:pPr>
      <w:r>
        <w:rPr>
          <w:rFonts w:hint="eastAsia" w:ascii="宋体" w:hAnsi="宋体" w:cs="宋体"/>
          <w:b w:val="0"/>
          <w:i w:val="0"/>
          <w:sz w:val="30"/>
          <w:szCs w:val="30"/>
        </w:rPr>
        <w:t>①</w:t>
      </w:r>
      <w:r>
        <w:rPr>
          <w:rFonts w:eastAsia="仿宋"/>
          <w:b w:val="0"/>
          <w:i w:val="0"/>
          <w:sz w:val="30"/>
          <w:szCs w:val="30"/>
        </w:rPr>
        <w:t>经济效益指标</w:t>
      </w:r>
    </w:p>
    <w:p>
      <w:pPr>
        <w:spacing w:after="0" w:line="360" w:lineRule="auto"/>
        <w:ind w:firstLine="600" w:firstLineChars="200"/>
        <w:rPr>
          <w:rFonts w:eastAsia="仿宋"/>
          <w:b w:val="0"/>
          <w:i w:val="0"/>
          <w:sz w:val="30"/>
          <w:szCs w:val="30"/>
          <w:highlight w:val="none"/>
        </w:rPr>
      </w:pPr>
      <w:r>
        <w:rPr>
          <w:rFonts w:eastAsia="仿宋"/>
          <w:b w:val="0"/>
          <w:i w:val="0"/>
          <w:sz w:val="30"/>
          <w:szCs w:val="30"/>
        </w:rPr>
        <w:t>核销地质灾害隐患点数量</w:t>
      </w:r>
      <w:r>
        <w:rPr>
          <w:rFonts w:eastAsia="仿宋"/>
          <w:b w:val="0"/>
          <w:i w:val="0"/>
          <w:sz w:val="30"/>
          <w:szCs w:val="30"/>
          <w:highlight w:val="none"/>
        </w:rPr>
        <w:t>1个。隐患点正在治理中，还未完工，暂未核销。</w:t>
      </w:r>
    </w:p>
    <w:p>
      <w:pPr>
        <w:spacing w:after="0" w:line="360" w:lineRule="auto"/>
        <w:ind w:firstLine="600" w:firstLineChars="200"/>
        <w:rPr>
          <w:rFonts w:eastAsia="仿宋"/>
          <w:b w:val="0"/>
          <w:i w:val="0"/>
          <w:sz w:val="30"/>
          <w:szCs w:val="30"/>
        </w:rPr>
      </w:pPr>
      <w:r>
        <w:rPr>
          <w:rFonts w:hint="eastAsia" w:ascii="宋体" w:hAnsi="宋体" w:cs="宋体"/>
          <w:b w:val="0"/>
          <w:i w:val="0"/>
          <w:sz w:val="30"/>
          <w:szCs w:val="30"/>
        </w:rPr>
        <w:t>②</w:t>
      </w:r>
      <w:r>
        <w:rPr>
          <w:rFonts w:eastAsia="仿宋"/>
          <w:b w:val="0"/>
          <w:i w:val="0"/>
          <w:sz w:val="30"/>
          <w:szCs w:val="30"/>
        </w:rPr>
        <w:t>社会效益指标</w:t>
      </w:r>
    </w:p>
    <w:p>
      <w:pPr>
        <w:spacing w:after="0" w:line="360" w:lineRule="auto"/>
        <w:ind w:firstLine="600" w:firstLineChars="200"/>
        <w:rPr>
          <w:rFonts w:eastAsia="仿宋"/>
          <w:b w:val="0"/>
          <w:i w:val="0"/>
          <w:sz w:val="30"/>
          <w:szCs w:val="30"/>
        </w:rPr>
      </w:pPr>
      <w:r>
        <w:rPr>
          <w:rFonts w:eastAsia="仿宋"/>
          <w:b w:val="0"/>
          <w:i w:val="0"/>
          <w:sz w:val="30"/>
          <w:szCs w:val="30"/>
        </w:rPr>
        <w:t>保障群众预防地质灾害能力提升，通过本项目的实施，群众预防地质灾害能力较以往会有所提升。</w:t>
      </w:r>
    </w:p>
    <w:p>
      <w:pPr>
        <w:spacing w:after="0" w:line="360" w:lineRule="auto"/>
        <w:ind w:firstLine="600" w:firstLineChars="200"/>
        <w:rPr>
          <w:rFonts w:eastAsia="仿宋"/>
          <w:b w:val="0"/>
          <w:i w:val="0"/>
          <w:sz w:val="30"/>
          <w:szCs w:val="30"/>
        </w:rPr>
      </w:pPr>
      <w:r>
        <w:rPr>
          <w:rFonts w:hint="eastAsia" w:eastAsia="仿宋"/>
          <w:b w:val="0"/>
          <w:i w:val="0"/>
          <w:sz w:val="30"/>
          <w:szCs w:val="30"/>
        </w:rPr>
        <w:t>（3）</w:t>
      </w:r>
      <w:r>
        <w:rPr>
          <w:rFonts w:eastAsia="仿宋"/>
          <w:b w:val="0"/>
          <w:i w:val="0"/>
          <w:sz w:val="30"/>
          <w:szCs w:val="30"/>
        </w:rPr>
        <w:t>服务对象满意度指标</w:t>
      </w:r>
    </w:p>
    <w:p>
      <w:pPr>
        <w:spacing w:after="0" w:line="360" w:lineRule="auto"/>
        <w:ind w:firstLine="600" w:firstLineChars="200"/>
        <w:rPr>
          <w:rFonts w:eastAsia="仿宋"/>
          <w:b w:val="0"/>
          <w:i w:val="0"/>
          <w:sz w:val="30"/>
          <w:szCs w:val="30"/>
        </w:rPr>
      </w:pPr>
      <w:r>
        <w:rPr>
          <w:rFonts w:eastAsia="仿宋"/>
          <w:b w:val="0"/>
          <w:i w:val="0"/>
          <w:sz w:val="30"/>
          <w:szCs w:val="30"/>
        </w:rPr>
        <w:t>相关方满意度&gt;=90%，实际达到90%。</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bCs/>
          <w:i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bCs/>
          <w:i w:val="0"/>
          <w:sz w:val="32"/>
          <w:szCs w:val="32"/>
          <w:lang w:val="en-US" w:eastAsia="zh-CN"/>
        </w:rPr>
      </w:pPr>
      <w:r>
        <w:rPr>
          <w:rFonts w:hint="eastAsia" w:ascii="仿宋" w:hAnsi="仿宋" w:eastAsia="仿宋" w:cs="仿宋"/>
          <w:b/>
          <w:bCs/>
          <w:i w:val="0"/>
          <w:sz w:val="32"/>
          <w:szCs w:val="32"/>
          <w:lang w:val="en-US" w:eastAsia="zh-CN"/>
        </w:rPr>
        <w:t>三、存在问题</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val="0"/>
          <w:bCs w:val="0"/>
          <w:i w:val="0"/>
          <w:sz w:val="32"/>
          <w:szCs w:val="32"/>
          <w:lang w:val="en-US" w:eastAsia="zh-CN"/>
        </w:rPr>
      </w:pPr>
      <w:r>
        <w:rPr>
          <w:rFonts w:hint="eastAsia" w:ascii="仿宋" w:hAnsi="仿宋" w:eastAsia="仿宋" w:cs="仿宋"/>
          <w:b w:val="0"/>
          <w:bCs w:val="0"/>
          <w:i w:val="0"/>
          <w:sz w:val="32"/>
          <w:szCs w:val="32"/>
          <w:lang w:val="en-US" w:eastAsia="zh-CN"/>
        </w:rPr>
        <w:t>截止2024年9月20日，本项目完成了既定的绩效目标，包括：I~Ⅴ挡土墙完成287米，锚杆完成279孔，锚杆2790米，土方开挖回填约1500方，窑洞回填70m³，锚杆肋板墙（270m长 ），完成230m，，未偏离绩效目标，下一步将继续锚定绩效目标任务，紧抓进度、质量及安全，确保绩效目标如数如期高质量完成。</w:t>
      </w:r>
    </w:p>
    <w:p>
      <w:pPr>
        <w:spacing w:after="0" w:line="240" w:lineRule="auto"/>
        <w:ind w:firstLine="640" w:firstLineChars="200"/>
        <w:rPr>
          <w:rFonts w:hint="eastAsia" w:ascii="仿宋" w:hAnsi="仿宋" w:eastAsia="仿宋" w:cs="仿宋"/>
          <w:b/>
          <w:bCs/>
          <w:i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bCs/>
          <w:i w:val="0"/>
          <w:sz w:val="32"/>
          <w:szCs w:val="32"/>
          <w:lang w:val="en-US" w:eastAsia="zh-CN"/>
        </w:rPr>
      </w:pPr>
      <w:r>
        <w:rPr>
          <w:rFonts w:hint="eastAsia" w:ascii="仿宋" w:hAnsi="仿宋" w:eastAsia="仿宋" w:cs="仿宋"/>
          <w:b/>
          <w:bCs/>
          <w:i w:val="0"/>
          <w:sz w:val="32"/>
          <w:szCs w:val="32"/>
          <w:lang w:val="en-US" w:eastAsia="zh-CN"/>
        </w:rPr>
        <w:t>四、整改措施和建议</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val="0"/>
          <w:bCs w:val="0"/>
          <w:i w:val="0"/>
          <w:sz w:val="32"/>
          <w:szCs w:val="32"/>
          <w:lang w:val="en-US" w:eastAsia="zh-CN"/>
        </w:rPr>
      </w:pPr>
      <w:r>
        <w:rPr>
          <w:rFonts w:hint="eastAsia" w:ascii="仿宋" w:hAnsi="仿宋" w:eastAsia="仿宋" w:cs="仿宋"/>
          <w:b w:val="0"/>
          <w:bCs w:val="0"/>
          <w:i w:val="0"/>
          <w:sz w:val="32"/>
          <w:szCs w:val="32"/>
          <w:lang w:val="en-US" w:eastAsia="zh-CN"/>
        </w:rPr>
        <w:t>目前，本项目绩效目标执行不存在的偏差，我局将继续保持高度的责任感和使命感，抢抓施工黄金期，确保工程质量，10月完成工程建设任务，尽早发挥工程建设防灾作用，确保受地质灾害威胁群众生命财产安全。同时继续加强项目绩效目标运行监控。</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b/>
          <w:bCs/>
          <w:i w:val="0"/>
          <w:sz w:val="32"/>
          <w:szCs w:val="32"/>
          <w:lang w:val="en-US" w:eastAsia="zh-CN"/>
        </w:rPr>
      </w:pPr>
    </w:p>
    <w:p>
      <w:pPr>
        <w:spacing w:line="360" w:lineRule="auto"/>
        <w:ind w:firstLine="600" w:firstLineChars="200"/>
        <w:jc w:val="left"/>
        <w:rPr>
          <w:rFonts w:hint="eastAsia" w:eastAsia="仿宋"/>
          <w:b w:val="0"/>
          <w:i w:val="0"/>
          <w:sz w:val="30"/>
          <w:szCs w:val="30"/>
          <w:lang w:val="en-US" w:eastAsia="zh-CN"/>
        </w:rPr>
      </w:pPr>
      <w:r>
        <w:rPr>
          <w:rFonts w:hint="eastAsia" w:eastAsia="仿宋"/>
          <w:b w:val="0"/>
          <w:i w:val="0"/>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600" w:lineRule="exact"/>
        <w:ind w:firstLine="600" w:firstLineChars="200"/>
        <w:textAlignment w:val="auto"/>
        <w:rPr>
          <w:rFonts w:hint="eastAsia" w:ascii="仿宋" w:hAnsi="仿宋" w:eastAsia="仿宋" w:cs="仿宋"/>
          <w:b w:val="0"/>
          <w:bCs w:val="0"/>
          <w:i w:val="0"/>
          <w:sz w:val="32"/>
          <w:szCs w:val="32"/>
          <w:lang w:val="en-US" w:eastAsia="zh-CN"/>
        </w:rPr>
      </w:pPr>
      <w:r>
        <w:rPr>
          <w:rFonts w:hint="eastAsia" w:eastAsia="仿宋"/>
          <w:b w:val="0"/>
          <w:i w:val="0"/>
          <w:sz w:val="30"/>
          <w:szCs w:val="30"/>
          <w:lang w:val="en-US" w:eastAsia="zh-CN"/>
        </w:rPr>
        <w:t xml:space="preserve">                       </w:t>
      </w:r>
      <w:r>
        <w:rPr>
          <w:rFonts w:hint="eastAsia" w:ascii="仿宋" w:hAnsi="仿宋" w:eastAsia="仿宋" w:cs="仿宋"/>
          <w:b w:val="0"/>
          <w:bCs w:val="0"/>
          <w:i w:val="0"/>
          <w:sz w:val="32"/>
          <w:szCs w:val="32"/>
          <w:lang w:val="en-US" w:eastAsia="zh-CN"/>
        </w:rPr>
        <w:t xml:space="preserve">  </w:t>
      </w:r>
    </w:p>
    <w:p>
      <w:pPr>
        <w:ind w:firstLine="600" w:firstLineChars="200"/>
        <w:rPr>
          <w:rFonts w:eastAsia="仿宋"/>
          <w:b w:val="0"/>
          <w:i w:val="0"/>
          <w:sz w:val="30"/>
          <w:szCs w:val="30"/>
        </w:rPr>
      </w:pPr>
    </w:p>
    <w:p>
      <w:pPr>
        <w:ind w:firstLine="600" w:firstLineChars="200"/>
        <w:rPr>
          <w:rFonts w:eastAsia="仿宋"/>
          <w:b w:val="0"/>
          <w:i w:val="0"/>
          <w:sz w:val="30"/>
          <w:szCs w:val="30"/>
        </w:rPr>
      </w:pPr>
    </w:p>
    <w:p>
      <w:pPr>
        <w:ind w:firstLine="600" w:firstLineChars="200"/>
        <w:rPr>
          <w:rFonts w:eastAsia="仿宋"/>
          <w:b w:val="0"/>
          <w:i w:val="0"/>
          <w:sz w:val="30"/>
          <w:szCs w:val="30"/>
        </w:rPr>
      </w:pPr>
    </w:p>
    <w:p>
      <w:pPr>
        <w:ind w:firstLine="3060" w:firstLineChars="1700"/>
        <w:rPr>
          <w:rFonts w:eastAsiaTheme="minorEastAsia"/>
          <w:b w:val="0"/>
          <w:i w:val="0"/>
          <w:sz w:val="18"/>
          <w:szCs w:val="18"/>
        </w:rPr>
      </w:pPr>
    </w:p>
    <w:sectPr>
      <w:footerReference r:id="rId4" w:type="first"/>
      <w:footerReference r:id="rId3" w:type="default"/>
      <w:pgSz w:w="11906" w:h="16838"/>
      <w:pgMar w:top="1440" w:right="1474" w:bottom="1440" w:left="1587" w:header="851" w:footer="992" w:gutter="0"/>
      <w:cols w:space="425" w:num="1"/>
      <w:titlePg/>
      <w:docGrid w:type="linesAndChars" w:linePitch="4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7</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321"/>
  <w:drawingGridVerticalSpacing w:val="437"/>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zNGVjYmNiMTNkZTM1NTQ4YWI4ZGFjY2E0ZmVlMGQifQ=="/>
  </w:docVars>
  <w:rsids>
    <w:rsidRoot w:val="00422FD8"/>
    <w:rsid w:val="00001C9D"/>
    <w:rsid w:val="00002958"/>
    <w:rsid w:val="00006C5B"/>
    <w:rsid w:val="00006E0E"/>
    <w:rsid w:val="000118E7"/>
    <w:rsid w:val="000143EA"/>
    <w:rsid w:val="00021452"/>
    <w:rsid w:val="00021AC6"/>
    <w:rsid w:val="00022286"/>
    <w:rsid w:val="000271E8"/>
    <w:rsid w:val="00030693"/>
    <w:rsid w:val="00033756"/>
    <w:rsid w:val="00034237"/>
    <w:rsid w:val="000352D5"/>
    <w:rsid w:val="00041973"/>
    <w:rsid w:val="0004305F"/>
    <w:rsid w:val="000441EA"/>
    <w:rsid w:val="000449D7"/>
    <w:rsid w:val="000453BC"/>
    <w:rsid w:val="00045A1C"/>
    <w:rsid w:val="000472B7"/>
    <w:rsid w:val="00050035"/>
    <w:rsid w:val="00051222"/>
    <w:rsid w:val="00051A2D"/>
    <w:rsid w:val="00051E96"/>
    <w:rsid w:val="00057BE5"/>
    <w:rsid w:val="00063E5C"/>
    <w:rsid w:val="00067677"/>
    <w:rsid w:val="0007196B"/>
    <w:rsid w:val="00073D6D"/>
    <w:rsid w:val="0007471F"/>
    <w:rsid w:val="00075A05"/>
    <w:rsid w:val="00075FF2"/>
    <w:rsid w:val="000811F2"/>
    <w:rsid w:val="000833B3"/>
    <w:rsid w:val="00085F3C"/>
    <w:rsid w:val="0008768F"/>
    <w:rsid w:val="00094A89"/>
    <w:rsid w:val="0009522E"/>
    <w:rsid w:val="000A5C57"/>
    <w:rsid w:val="000A6EDC"/>
    <w:rsid w:val="000A71D8"/>
    <w:rsid w:val="000B00C7"/>
    <w:rsid w:val="000B0874"/>
    <w:rsid w:val="000B18F5"/>
    <w:rsid w:val="000B38EF"/>
    <w:rsid w:val="000B4694"/>
    <w:rsid w:val="000B55C5"/>
    <w:rsid w:val="000B72B3"/>
    <w:rsid w:val="000B73C3"/>
    <w:rsid w:val="000C0FD5"/>
    <w:rsid w:val="000C2193"/>
    <w:rsid w:val="000C2CD6"/>
    <w:rsid w:val="000C2F8C"/>
    <w:rsid w:val="000C4D25"/>
    <w:rsid w:val="000C53A4"/>
    <w:rsid w:val="000C6737"/>
    <w:rsid w:val="000C6B82"/>
    <w:rsid w:val="000D512B"/>
    <w:rsid w:val="000E06A5"/>
    <w:rsid w:val="000E379B"/>
    <w:rsid w:val="000E43F4"/>
    <w:rsid w:val="000E60B9"/>
    <w:rsid w:val="000E7291"/>
    <w:rsid w:val="000F40C6"/>
    <w:rsid w:val="00100174"/>
    <w:rsid w:val="00107EC8"/>
    <w:rsid w:val="001126DA"/>
    <w:rsid w:val="001133B7"/>
    <w:rsid w:val="00113A35"/>
    <w:rsid w:val="00123138"/>
    <w:rsid w:val="00123516"/>
    <w:rsid w:val="001303AC"/>
    <w:rsid w:val="001357E1"/>
    <w:rsid w:val="0013640B"/>
    <w:rsid w:val="00136DF0"/>
    <w:rsid w:val="00145E32"/>
    <w:rsid w:val="00145E98"/>
    <w:rsid w:val="00147AEF"/>
    <w:rsid w:val="0015092A"/>
    <w:rsid w:val="00150963"/>
    <w:rsid w:val="00150F3B"/>
    <w:rsid w:val="00152807"/>
    <w:rsid w:val="001550F8"/>
    <w:rsid w:val="00156BB4"/>
    <w:rsid w:val="00157593"/>
    <w:rsid w:val="001600C1"/>
    <w:rsid w:val="0016199E"/>
    <w:rsid w:val="0016437F"/>
    <w:rsid w:val="0016463D"/>
    <w:rsid w:val="00164D19"/>
    <w:rsid w:val="00165A9B"/>
    <w:rsid w:val="001672F4"/>
    <w:rsid w:val="00171074"/>
    <w:rsid w:val="001713FE"/>
    <w:rsid w:val="00174E8D"/>
    <w:rsid w:val="00177571"/>
    <w:rsid w:val="001810F1"/>
    <w:rsid w:val="00182B7B"/>
    <w:rsid w:val="00184C8D"/>
    <w:rsid w:val="00186A9A"/>
    <w:rsid w:val="0019164A"/>
    <w:rsid w:val="0019269E"/>
    <w:rsid w:val="001A5DEF"/>
    <w:rsid w:val="001B1D21"/>
    <w:rsid w:val="001B4BF2"/>
    <w:rsid w:val="001B5E4F"/>
    <w:rsid w:val="001C2B10"/>
    <w:rsid w:val="001C320D"/>
    <w:rsid w:val="001C35EC"/>
    <w:rsid w:val="001C733A"/>
    <w:rsid w:val="001D0317"/>
    <w:rsid w:val="001D387B"/>
    <w:rsid w:val="001D3B13"/>
    <w:rsid w:val="001D4281"/>
    <w:rsid w:val="001D65EA"/>
    <w:rsid w:val="001D6CBA"/>
    <w:rsid w:val="001E048F"/>
    <w:rsid w:val="001E1E10"/>
    <w:rsid w:val="001F287A"/>
    <w:rsid w:val="001F50FC"/>
    <w:rsid w:val="001F63FC"/>
    <w:rsid w:val="0020024A"/>
    <w:rsid w:val="0020209F"/>
    <w:rsid w:val="002030A1"/>
    <w:rsid w:val="002055A3"/>
    <w:rsid w:val="002128BA"/>
    <w:rsid w:val="002148F2"/>
    <w:rsid w:val="002179B3"/>
    <w:rsid w:val="002236EC"/>
    <w:rsid w:val="00223BF4"/>
    <w:rsid w:val="00223E9C"/>
    <w:rsid w:val="00225CA1"/>
    <w:rsid w:val="00226EDB"/>
    <w:rsid w:val="0022727D"/>
    <w:rsid w:val="002277D9"/>
    <w:rsid w:val="00234A65"/>
    <w:rsid w:val="002352DB"/>
    <w:rsid w:val="00241588"/>
    <w:rsid w:val="00242DD8"/>
    <w:rsid w:val="00246539"/>
    <w:rsid w:val="00254878"/>
    <w:rsid w:val="00255248"/>
    <w:rsid w:val="002604BD"/>
    <w:rsid w:val="00265DCE"/>
    <w:rsid w:val="00270805"/>
    <w:rsid w:val="00271209"/>
    <w:rsid w:val="002723C8"/>
    <w:rsid w:val="00272BD7"/>
    <w:rsid w:val="00277647"/>
    <w:rsid w:val="00293CB7"/>
    <w:rsid w:val="00296C87"/>
    <w:rsid w:val="002A0C06"/>
    <w:rsid w:val="002A4079"/>
    <w:rsid w:val="002A5604"/>
    <w:rsid w:val="002A581D"/>
    <w:rsid w:val="002B0F47"/>
    <w:rsid w:val="002B11BC"/>
    <w:rsid w:val="002B6680"/>
    <w:rsid w:val="002C06F7"/>
    <w:rsid w:val="002C08F5"/>
    <w:rsid w:val="002C0D38"/>
    <w:rsid w:val="002C29E2"/>
    <w:rsid w:val="002C2BAC"/>
    <w:rsid w:val="002C306B"/>
    <w:rsid w:val="002C34E5"/>
    <w:rsid w:val="002C4652"/>
    <w:rsid w:val="002C53DB"/>
    <w:rsid w:val="002D0219"/>
    <w:rsid w:val="002D50A6"/>
    <w:rsid w:val="002D58FB"/>
    <w:rsid w:val="002D7978"/>
    <w:rsid w:val="002E6943"/>
    <w:rsid w:val="002F0892"/>
    <w:rsid w:val="002F22D8"/>
    <w:rsid w:val="002F244C"/>
    <w:rsid w:val="002F255B"/>
    <w:rsid w:val="002F25D8"/>
    <w:rsid w:val="002F2CC5"/>
    <w:rsid w:val="002F39A3"/>
    <w:rsid w:val="002F6009"/>
    <w:rsid w:val="003011D4"/>
    <w:rsid w:val="00301FAF"/>
    <w:rsid w:val="003037DB"/>
    <w:rsid w:val="00305090"/>
    <w:rsid w:val="00310981"/>
    <w:rsid w:val="00312941"/>
    <w:rsid w:val="0031457D"/>
    <w:rsid w:val="00325C57"/>
    <w:rsid w:val="00331E7D"/>
    <w:rsid w:val="0034130C"/>
    <w:rsid w:val="00345EF1"/>
    <w:rsid w:val="00346EDA"/>
    <w:rsid w:val="00350FB3"/>
    <w:rsid w:val="00355873"/>
    <w:rsid w:val="00357289"/>
    <w:rsid w:val="00357E4B"/>
    <w:rsid w:val="0036099C"/>
    <w:rsid w:val="003642E8"/>
    <w:rsid w:val="003653E7"/>
    <w:rsid w:val="00373ED2"/>
    <w:rsid w:val="003747FD"/>
    <w:rsid w:val="00381D94"/>
    <w:rsid w:val="003820F6"/>
    <w:rsid w:val="00387701"/>
    <w:rsid w:val="00390647"/>
    <w:rsid w:val="00391122"/>
    <w:rsid w:val="00391EDF"/>
    <w:rsid w:val="00394970"/>
    <w:rsid w:val="00395901"/>
    <w:rsid w:val="00397A13"/>
    <w:rsid w:val="003A1F82"/>
    <w:rsid w:val="003B00CC"/>
    <w:rsid w:val="003B2D25"/>
    <w:rsid w:val="003B40B5"/>
    <w:rsid w:val="003B45B2"/>
    <w:rsid w:val="003B7AD5"/>
    <w:rsid w:val="003C19C5"/>
    <w:rsid w:val="003C39CB"/>
    <w:rsid w:val="003C4094"/>
    <w:rsid w:val="003C4CB7"/>
    <w:rsid w:val="003C4DE6"/>
    <w:rsid w:val="003C5EB3"/>
    <w:rsid w:val="003D20A0"/>
    <w:rsid w:val="003E666C"/>
    <w:rsid w:val="003E7A69"/>
    <w:rsid w:val="003F0C5F"/>
    <w:rsid w:val="003F177D"/>
    <w:rsid w:val="003F4431"/>
    <w:rsid w:val="003F5AF0"/>
    <w:rsid w:val="003F7F13"/>
    <w:rsid w:val="004005E8"/>
    <w:rsid w:val="00401A58"/>
    <w:rsid w:val="004030F2"/>
    <w:rsid w:val="004070DD"/>
    <w:rsid w:val="00412933"/>
    <w:rsid w:val="004146BA"/>
    <w:rsid w:val="00417E90"/>
    <w:rsid w:val="00420AAB"/>
    <w:rsid w:val="00422FD8"/>
    <w:rsid w:val="004240C5"/>
    <w:rsid w:val="00425C72"/>
    <w:rsid w:val="00426678"/>
    <w:rsid w:val="004312E9"/>
    <w:rsid w:val="004316E8"/>
    <w:rsid w:val="004411F0"/>
    <w:rsid w:val="00443FE8"/>
    <w:rsid w:val="00444C41"/>
    <w:rsid w:val="004462FA"/>
    <w:rsid w:val="00450FB4"/>
    <w:rsid w:val="00451E14"/>
    <w:rsid w:val="00452080"/>
    <w:rsid w:val="00453640"/>
    <w:rsid w:val="00453CF0"/>
    <w:rsid w:val="00455A25"/>
    <w:rsid w:val="00455ADD"/>
    <w:rsid w:val="00461C0C"/>
    <w:rsid w:val="0046314E"/>
    <w:rsid w:val="004713AC"/>
    <w:rsid w:val="00471456"/>
    <w:rsid w:val="004720FE"/>
    <w:rsid w:val="00474AA1"/>
    <w:rsid w:val="00474B4B"/>
    <w:rsid w:val="00475857"/>
    <w:rsid w:val="00475BDB"/>
    <w:rsid w:val="00476A2C"/>
    <w:rsid w:val="00481CDA"/>
    <w:rsid w:val="00483264"/>
    <w:rsid w:val="00485B16"/>
    <w:rsid w:val="0049062B"/>
    <w:rsid w:val="00491FCC"/>
    <w:rsid w:val="004A5706"/>
    <w:rsid w:val="004A7778"/>
    <w:rsid w:val="004A7C7C"/>
    <w:rsid w:val="004A7CA0"/>
    <w:rsid w:val="004A7F5D"/>
    <w:rsid w:val="004C2638"/>
    <w:rsid w:val="004C2933"/>
    <w:rsid w:val="004C3292"/>
    <w:rsid w:val="004C68A2"/>
    <w:rsid w:val="004D3DE3"/>
    <w:rsid w:val="004E1337"/>
    <w:rsid w:val="004E27AF"/>
    <w:rsid w:val="004E6BF8"/>
    <w:rsid w:val="004F4E58"/>
    <w:rsid w:val="00502835"/>
    <w:rsid w:val="0050695D"/>
    <w:rsid w:val="00512041"/>
    <w:rsid w:val="005172F5"/>
    <w:rsid w:val="00517FC9"/>
    <w:rsid w:val="0052362C"/>
    <w:rsid w:val="005242C6"/>
    <w:rsid w:val="00525C96"/>
    <w:rsid w:val="005271B1"/>
    <w:rsid w:val="00530B0F"/>
    <w:rsid w:val="0053252E"/>
    <w:rsid w:val="00534CA3"/>
    <w:rsid w:val="00535496"/>
    <w:rsid w:val="00541731"/>
    <w:rsid w:val="00542676"/>
    <w:rsid w:val="00543018"/>
    <w:rsid w:val="00544CC2"/>
    <w:rsid w:val="00545349"/>
    <w:rsid w:val="00550A0A"/>
    <w:rsid w:val="0055285C"/>
    <w:rsid w:val="00555308"/>
    <w:rsid w:val="00555760"/>
    <w:rsid w:val="0055719F"/>
    <w:rsid w:val="0056069D"/>
    <w:rsid w:val="005720E0"/>
    <w:rsid w:val="00576C80"/>
    <w:rsid w:val="00577854"/>
    <w:rsid w:val="00582C58"/>
    <w:rsid w:val="00583E16"/>
    <w:rsid w:val="005854BC"/>
    <w:rsid w:val="0058748E"/>
    <w:rsid w:val="0059084A"/>
    <w:rsid w:val="005929C0"/>
    <w:rsid w:val="0059358F"/>
    <w:rsid w:val="005937FF"/>
    <w:rsid w:val="005948CC"/>
    <w:rsid w:val="0059680C"/>
    <w:rsid w:val="005A176A"/>
    <w:rsid w:val="005A4190"/>
    <w:rsid w:val="005A5823"/>
    <w:rsid w:val="005A7932"/>
    <w:rsid w:val="005B2089"/>
    <w:rsid w:val="005B2350"/>
    <w:rsid w:val="005B5A9D"/>
    <w:rsid w:val="005B7A4E"/>
    <w:rsid w:val="005B7BBB"/>
    <w:rsid w:val="005C38A5"/>
    <w:rsid w:val="005C489E"/>
    <w:rsid w:val="005D1BB6"/>
    <w:rsid w:val="005D56D3"/>
    <w:rsid w:val="005D580B"/>
    <w:rsid w:val="005E5A6A"/>
    <w:rsid w:val="005F0082"/>
    <w:rsid w:val="005F0FC0"/>
    <w:rsid w:val="005F23C7"/>
    <w:rsid w:val="005F2EA2"/>
    <w:rsid w:val="006035AE"/>
    <w:rsid w:val="00603D37"/>
    <w:rsid w:val="00605E83"/>
    <w:rsid w:val="00606326"/>
    <w:rsid w:val="00612EBD"/>
    <w:rsid w:val="00616DB0"/>
    <w:rsid w:val="006229B9"/>
    <w:rsid w:val="00623F04"/>
    <w:rsid w:val="00627172"/>
    <w:rsid w:val="006308A1"/>
    <w:rsid w:val="00637E1B"/>
    <w:rsid w:val="00643210"/>
    <w:rsid w:val="0064355C"/>
    <w:rsid w:val="00644629"/>
    <w:rsid w:val="00645604"/>
    <w:rsid w:val="00645A95"/>
    <w:rsid w:val="0064621D"/>
    <w:rsid w:val="006528ED"/>
    <w:rsid w:val="00653DC2"/>
    <w:rsid w:val="00655A05"/>
    <w:rsid w:val="00661711"/>
    <w:rsid w:val="006643FB"/>
    <w:rsid w:val="00666C17"/>
    <w:rsid w:val="00666CC4"/>
    <w:rsid w:val="00667337"/>
    <w:rsid w:val="006677CB"/>
    <w:rsid w:val="006768E9"/>
    <w:rsid w:val="006827DC"/>
    <w:rsid w:val="0068327F"/>
    <w:rsid w:val="00686124"/>
    <w:rsid w:val="0068679C"/>
    <w:rsid w:val="00687963"/>
    <w:rsid w:val="006943EE"/>
    <w:rsid w:val="00697F02"/>
    <w:rsid w:val="006A38F8"/>
    <w:rsid w:val="006A411D"/>
    <w:rsid w:val="006A5568"/>
    <w:rsid w:val="006A5F7C"/>
    <w:rsid w:val="006B14C3"/>
    <w:rsid w:val="006B565D"/>
    <w:rsid w:val="006B6AB1"/>
    <w:rsid w:val="006C1F2F"/>
    <w:rsid w:val="006C447B"/>
    <w:rsid w:val="006D10AB"/>
    <w:rsid w:val="006D306C"/>
    <w:rsid w:val="006D39E2"/>
    <w:rsid w:val="006E443D"/>
    <w:rsid w:val="006F1704"/>
    <w:rsid w:val="006F580B"/>
    <w:rsid w:val="006F59D1"/>
    <w:rsid w:val="006F6E29"/>
    <w:rsid w:val="007006B8"/>
    <w:rsid w:val="00700ECF"/>
    <w:rsid w:val="007018CE"/>
    <w:rsid w:val="00705832"/>
    <w:rsid w:val="00712772"/>
    <w:rsid w:val="007161D8"/>
    <w:rsid w:val="00716D70"/>
    <w:rsid w:val="0072053C"/>
    <w:rsid w:val="00724E2F"/>
    <w:rsid w:val="00725B3F"/>
    <w:rsid w:val="00727141"/>
    <w:rsid w:val="00731C6F"/>
    <w:rsid w:val="00733B4E"/>
    <w:rsid w:val="00735581"/>
    <w:rsid w:val="00736E99"/>
    <w:rsid w:val="00740337"/>
    <w:rsid w:val="007463FE"/>
    <w:rsid w:val="00754166"/>
    <w:rsid w:val="00756B6F"/>
    <w:rsid w:val="00760B69"/>
    <w:rsid w:val="0076302C"/>
    <w:rsid w:val="00766D4B"/>
    <w:rsid w:val="00767174"/>
    <w:rsid w:val="0077349F"/>
    <w:rsid w:val="00774BC1"/>
    <w:rsid w:val="00776BD9"/>
    <w:rsid w:val="00781A35"/>
    <w:rsid w:val="007835C1"/>
    <w:rsid w:val="007900A0"/>
    <w:rsid w:val="00797C86"/>
    <w:rsid w:val="007A6090"/>
    <w:rsid w:val="007A6969"/>
    <w:rsid w:val="007B00D8"/>
    <w:rsid w:val="007B214B"/>
    <w:rsid w:val="007B4E0C"/>
    <w:rsid w:val="007B5058"/>
    <w:rsid w:val="007B5D5A"/>
    <w:rsid w:val="007C1189"/>
    <w:rsid w:val="007C4CF6"/>
    <w:rsid w:val="007C54C9"/>
    <w:rsid w:val="007C61AB"/>
    <w:rsid w:val="007C7978"/>
    <w:rsid w:val="007E58BD"/>
    <w:rsid w:val="007E7542"/>
    <w:rsid w:val="007F3DE6"/>
    <w:rsid w:val="007F4C0C"/>
    <w:rsid w:val="007F7D26"/>
    <w:rsid w:val="00802A5F"/>
    <w:rsid w:val="00806E56"/>
    <w:rsid w:val="00813C9A"/>
    <w:rsid w:val="00814114"/>
    <w:rsid w:val="00817D32"/>
    <w:rsid w:val="00821AAD"/>
    <w:rsid w:val="00822729"/>
    <w:rsid w:val="0082516E"/>
    <w:rsid w:val="00826010"/>
    <w:rsid w:val="00827F94"/>
    <w:rsid w:val="008320EC"/>
    <w:rsid w:val="00833390"/>
    <w:rsid w:val="008336B1"/>
    <w:rsid w:val="00833B97"/>
    <w:rsid w:val="00846BB3"/>
    <w:rsid w:val="00852339"/>
    <w:rsid w:val="008529BE"/>
    <w:rsid w:val="00852BA7"/>
    <w:rsid w:val="0086380A"/>
    <w:rsid w:val="00873595"/>
    <w:rsid w:val="00874476"/>
    <w:rsid w:val="008759ED"/>
    <w:rsid w:val="00876E66"/>
    <w:rsid w:val="008779C7"/>
    <w:rsid w:val="00877B00"/>
    <w:rsid w:val="00885357"/>
    <w:rsid w:val="008857AB"/>
    <w:rsid w:val="00886ABE"/>
    <w:rsid w:val="00892AA1"/>
    <w:rsid w:val="008A0304"/>
    <w:rsid w:val="008A06DF"/>
    <w:rsid w:val="008A4CFC"/>
    <w:rsid w:val="008A5061"/>
    <w:rsid w:val="008B17AC"/>
    <w:rsid w:val="008B2438"/>
    <w:rsid w:val="008B29CB"/>
    <w:rsid w:val="008B3192"/>
    <w:rsid w:val="008B33D9"/>
    <w:rsid w:val="008B4414"/>
    <w:rsid w:val="008C0E9E"/>
    <w:rsid w:val="008C25D2"/>
    <w:rsid w:val="008C504F"/>
    <w:rsid w:val="008C650D"/>
    <w:rsid w:val="008E0C2E"/>
    <w:rsid w:val="008E1DCA"/>
    <w:rsid w:val="008E432C"/>
    <w:rsid w:val="008F0AD0"/>
    <w:rsid w:val="0090194A"/>
    <w:rsid w:val="00902F5C"/>
    <w:rsid w:val="00903B87"/>
    <w:rsid w:val="00906581"/>
    <w:rsid w:val="0091083F"/>
    <w:rsid w:val="0091135E"/>
    <w:rsid w:val="00911E09"/>
    <w:rsid w:val="00913E27"/>
    <w:rsid w:val="00914B44"/>
    <w:rsid w:val="00915203"/>
    <w:rsid w:val="00916058"/>
    <w:rsid w:val="00916EE2"/>
    <w:rsid w:val="00920208"/>
    <w:rsid w:val="00921271"/>
    <w:rsid w:val="00921810"/>
    <w:rsid w:val="00931F83"/>
    <w:rsid w:val="00933A00"/>
    <w:rsid w:val="0093423B"/>
    <w:rsid w:val="00935F22"/>
    <w:rsid w:val="00941B4F"/>
    <w:rsid w:val="009421A3"/>
    <w:rsid w:val="00950625"/>
    <w:rsid w:val="009612CF"/>
    <w:rsid w:val="00962F59"/>
    <w:rsid w:val="00964D32"/>
    <w:rsid w:val="00966A11"/>
    <w:rsid w:val="009712D6"/>
    <w:rsid w:val="00982EDB"/>
    <w:rsid w:val="00990A3A"/>
    <w:rsid w:val="00991641"/>
    <w:rsid w:val="00992155"/>
    <w:rsid w:val="009946A8"/>
    <w:rsid w:val="00995344"/>
    <w:rsid w:val="0099756C"/>
    <w:rsid w:val="009A198E"/>
    <w:rsid w:val="009A293F"/>
    <w:rsid w:val="009A2FD6"/>
    <w:rsid w:val="009A3662"/>
    <w:rsid w:val="009B02E8"/>
    <w:rsid w:val="009B42A7"/>
    <w:rsid w:val="009B60AB"/>
    <w:rsid w:val="009B61A4"/>
    <w:rsid w:val="009B6BED"/>
    <w:rsid w:val="009C133E"/>
    <w:rsid w:val="009C26AC"/>
    <w:rsid w:val="009C4FDC"/>
    <w:rsid w:val="009D1B20"/>
    <w:rsid w:val="009D489B"/>
    <w:rsid w:val="009D5EDD"/>
    <w:rsid w:val="009D6ED9"/>
    <w:rsid w:val="009E096A"/>
    <w:rsid w:val="009E1735"/>
    <w:rsid w:val="009E18B1"/>
    <w:rsid w:val="009E5940"/>
    <w:rsid w:val="009F0BF6"/>
    <w:rsid w:val="009F1953"/>
    <w:rsid w:val="00A0084A"/>
    <w:rsid w:val="00A009C5"/>
    <w:rsid w:val="00A00E93"/>
    <w:rsid w:val="00A01A91"/>
    <w:rsid w:val="00A03B34"/>
    <w:rsid w:val="00A10932"/>
    <w:rsid w:val="00A11FCC"/>
    <w:rsid w:val="00A31CE0"/>
    <w:rsid w:val="00A31F0B"/>
    <w:rsid w:val="00A322B4"/>
    <w:rsid w:val="00A35293"/>
    <w:rsid w:val="00A355B5"/>
    <w:rsid w:val="00A37228"/>
    <w:rsid w:val="00A40BA4"/>
    <w:rsid w:val="00A5634D"/>
    <w:rsid w:val="00A56976"/>
    <w:rsid w:val="00A57657"/>
    <w:rsid w:val="00A6093A"/>
    <w:rsid w:val="00A62FA8"/>
    <w:rsid w:val="00A63C7E"/>
    <w:rsid w:val="00A66166"/>
    <w:rsid w:val="00A71315"/>
    <w:rsid w:val="00A72394"/>
    <w:rsid w:val="00A7249C"/>
    <w:rsid w:val="00A769AA"/>
    <w:rsid w:val="00A76EBA"/>
    <w:rsid w:val="00A77484"/>
    <w:rsid w:val="00A81D33"/>
    <w:rsid w:val="00A90155"/>
    <w:rsid w:val="00A9261C"/>
    <w:rsid w:val="00AA7464"/>
    <w:rsid w:val="00AA76F5"/>
    <w:rsid w:val="00AB33C4"/>
    <w:rsid w:val="00AB4349"/>
    <w:rsid w:val="00AB6D95"/>
    <w:rsid w:val="00AC355E"/>
    <w:rsid w:val="00AC3E22"/>
    <w:rsid w:val="00AC4609"/>
    <w:rsid w:val="00AC5927"/>
    <w:rsid w:val="00AD0838"/>
    <w:rsid w:val="00AD291A"/>
    <w:rsid w:val="00AE2844"/>
    <w:rsid w:val="00AE36BA"/>
    <w:rsid w:val="00AE3D17"/>
    <w:rsid w:val="00AE5653"/>
    <w:rsid w:val="00AE69B4"/>
    <w:rsid w:val="00AE6CD3"/>
    <w:rsid w:val="00AE757B"/>
    <w:rsid w:val="00AF0DAF"/>
    <w:rsid w:val="00B0018A"/>
    <w:rsid w:val="00B04AD5"/>
    <w:rsid w:val="00B06396"/>
    <w:rsid w:val="00B14983"/>
    <w:rsid w:val="00B16A54"/>
    <w:rsid w:val="00B22E33"/>
    <w:rsid w:val="00B23E97"/>
    <w:rsid w:val="00B30628"/>
    <w:rsid w:val="00B312D5"/>
    <w:rsid w:val="00B31627"/>
    <w:rsid w:val="00B35914"/>
    <w:rsid w:val="00B373DB"/>
    <w:rsid w:val="00B37D75"/>
    <w:rsid w:val="00B40A63"/>
    <w:rsid w:val="00B41DEF"/>
    <w:rsid w:val="00B42B93"/>
    <w:rsid w:val="00B45F41"/>
    <w:rsid w:val="00B54076"/>
    <w:rsid w:val="00B6016E"/>
    <w:rsid w:val="00B6114E"/>
    <w:rsid w:val="00B6542C"/>
    <w:rsid w:val="00B673EE"/>
    <w:rsid w:val="00B70504"/>
    <w:rsid w:val="00B7191F"/>
    <w:rsid w:val="00B74109"/>
    <w:rsid w:val="00B74135"/>
    <w:rsid w:val="00B753DF"/>
    <w:rsid w:val="00B7576E"/>
    <w:rsid w:val="00B7587D"/>
    <w:rsid w:val="00B80557"/>
    <w:rsid w:val="00B83268"/>
    <w:rsid w:val="00B87F02"/>
    <w:rsid w:val="00B93B28"/>
    <w:rsid w:val="00B960D7"/>
    <w:rsid w:val="00B96B17"/>
    <w:rsid w:val="00B97ACA"/>
    <w:rsid w:val="00BA0A8F"/>
    <w:rsid w:val="00BA20E5"/>
    <w:rsid w:val="00BA22C8"/>
    <w:rsid w:val="00BA26FA"/>
    <w:rsid w:val="00BA3680"/>
    <w:rsid w:val="00BA3C81"/>
    <w:rsid w:val="00BA7E15"/>
    <w:rsid w:val="00BB1B8F"/>
    <w:rsid w:val="00BB3145"/>
    <w:rsid w:val="00BB3996"/>
    <w:rsid w:val="00BB4E11"/>
    <w:rsid w:val="00BB7D9B"/>
    <w:rsid w:val="00BC1B19"/>
    <w:rsid w:val="00BC27C4"/>
    <w:rsid w:val="00BC2804"/>
    <w:rsid w:val="00BC2D60"/>
    <w:rsid w:val="00BC41CB"/>
    <w:rsid w:val="00BC6B82"/>
    <w:rsid w:val="00BC73DA"/>
    <w:rsid w:val="00BD1766"/>
    <w:rsid w:val="00BD2C42"/>
    <w:rsid w:val="00BD2E30"/>
    <w:rsid w:val="00BD479B"/>
    <w:rsid w:val="00BD61F4"/>
    <w:rsid w:val="00BD6DAC"/>
    <w:rsid w:val="00BE29C6"/>
    <w:rsid w:val="00BE6E61"/>
    <w:rsid w:val="00BF35CF"/>
    <w:rsid w:val="00BF65AF"/>
    <w:rsid w:val="00C00417"/>
    <w:rsid w:val="00C0134C"/>
    <w:rsid w:val="00C02834"/>
    <w:rsid w:val="00C06C23"/>
    <w:rsid w:val="00C134B8"/>
    <w:rsid w:val="00C13C85"/>
    <w:rsid w:val="00C1547E"/>
    <w:rsid w:val="00C1708A"/>
    <w:rsid w:val="00C20B6B"/>
    <w:rsid w:val="00C2260F"/>
    <w:rsid w:val="00C23E9B"/>
    <w:rsid w:val="00C25CE3"/>
    <w:rsid w:val="00C27868"/>
    <w:rsid w:val="00C27DF9"/>
    <w:rsid w:val="00C3013D"/>
    <w:rsid w:val="00C369C9"/>
    <w:rsid w:val="00C41630"/>
    <w:rsid w:val="00C41CE6"/>
    <w:rsid w:val="00C4254E"/>
    <w:rsid w:val="00C52A64"/>
    <w:rsid w:val="00C52AC9"/>
    <w:rsid w:val="00C56C26"/>
    <w:rsid w:val="00C575AF"/>
    <w:rsid w:val="00C723F5"/>
    <w:rsid w:val="00C75B27"/>
    <w:rsid w:val="00C77D9B"/>
    <w:rsid w:val="00C80556"/>
    <w:rsid w:val="00C82040"/>
    <w:rsid w:val="00C83D14"/>
    <w:rsid w:val="00C8559F"/>
    <w:rsid w:val="00C8567B"/>
    <w:rsid w:val="00C859A7"/>
    <w:rsid w:val="00C862B4"/>
    <w:rsid w:val="00C86DC8"/>
    <w:rsid w:val="00C87F67"/>
    <w:rsid w:val="00C925C5"/>
    <w:rsid w:val="00C93C4C"/>
    <w:rsid w:val="00C9500A"/>
    <w:rsid w:val="00C95E31"/>
    <w:rsid w:val="00C9688D"/>
    <w:rsid w:val="00C96A1D"/>
    <w:rsid w:val="00CA3FE0"/>
    <w:rsid w:val="00CA4C79"/>
    <w:rsid w:val="00CB3CB8"/>
    <w:rsid w:val="00CB415F"/>
    <w:rsid w:val="00CC7DB9"/>
    <w:rsid w:val="00CD53CC"/>
    <w:rsid w:val="00CE2318"/>
    <w:rsid w:val="00CE54E6"/>
    <w:rsid w:val="00CE66BD"/>
    <w:rsid w:val="00CF22C6"/>
    <w:rsid w:val="00CF706A"/>
    <w:rsid w:val="00D0350B"/>
    <w:rsid w:val="00D0750B"/>
    <w:rsid w:val="00D13A55"/>
    <w:rsid w:val="00D1486F"/>
    <w:rsid w:val="00D149F1"/>
    <w:rsid w:val="00D220F7"/>
    <w:rsid w:val="00D22F31"/>
    <w:rsid w:val="00D26311"/>
    <w:rsid w:val="00D3067D"/>
    <w:rsid w:val="00D4274B"/>
    <w:rsid w:val="00D42B6D"/>
    <w:rsid w:val="00D45070"/>
    <w:rsid w:val="00D52207"/>
    <w:rsid w:val="00D5407A"/>
    <w:rsid w:val="00D54B36"/>
    <w:rsid w:val="00D570B3"/>
    <w:rsid w:val="00D57225"/>
    <w:rsid w:val="00D60E84"/>
    <w:rsid w:val="00D62B8E"/>
    <w:rsid w:val="00D64C8F"/>
    <w:rsid w:val="00D724D3"/>
    <w:rsid w:val="00D73194"/>
    <w:rsid w:val="00D73CB5"/>
    <w:rsid w:val="00D7559C"/>
    <w:rsid w:val="00D837F2"/>
    <w:rsid w:val="00D87137"/>
    <w:rsid w:val="00D90917"/>
    <w:rsid w:val="00D924BF"/>
    <w:rsid w:val="00D9272D"/>
    <w:rsid w:val="00DA0619"/>
    <w:rsid w:val="00DA1822"/>
    <w:rsid w:val="00DA4272"/>
    <w:rsid w:val="00DB579D"/>
    <w:rsid w:val="00DD25E6"/>
    <w:rsid w:val="00DD5D5A"/>
    <w:rsid w:val="00DE12EA"/>
    <w:rsid w:val="00DE1A57"/>
    <w:rsid w:val="00DE32E7"/>
    <w:rsid w:val="00DF05E0"/>
    <w:rsid w:val="00DF116C"/>
    <w:rsid w:val="00DF139D"/>
    <w:rsid w:val="00DF1CC3"/>
    <w:rsid w:val="00E0411F"/>
    <w:rsid w:val="00E0450C"/>
    <w:rsid w:val="00E06786"/>
    <w:rsid w:val="00E0761D"/>
    <w:rsid w:val="00E1422E"/>
    <w:rsid w:val="00E20BFA"/>
    <w:rsid w:val="00E234D8"/>
    <w:rsid w:val="00E23AFA"/>
    <w:rsid w:val="00E269D7"/>
    <w:rsid w:val="00E26C35"/>
    <w:rsid w:val="00E314B7"/>
    <w:rsid w:val="00E33EFF"/>
    <w:rsid w:val="00E370EA"/>
    <w:rsid w:val="00E416A9"/>
    <w:rsid w:val="00E41BCD"/>
    <w:rsid w:val="00E4614C"/>
    <w:rsid w:val="00E46899"/>
    <w:rsid w:val="00E50D8E"/>
    <w:rsid w:val="00E51243"/>
    <w:rsid w:val="00E57A3B"/>
    <w:rsid w:val="00E65E8C"/>
    <w:rsid w:val="00E66D49"/>
    <w:rsid w:val="00E72C07"/>
    <w:rsid w:val="00E735DD"/>
    <w:rsid w:val="00E80E39"/>
    <w:rsid w:val="00E81EFD"/>
    <w:rsid w:val="00E847F4"/>
    <w:rsid w:val="00E85E9B"/>
    <w:rsid w:val="00E862C7"/>
    <w:rsid w:val="00E90942"/>
    <w:rsid w:val="00E915E2"/>
    <w:rsid w:val="00E91C29"/>
    <w:rsid w:val="00E94864"/>
    <w:rsid w:val="00E94B44"/>
    <w:rsid w:val="00E94CF7"/>
    <w:rsid w:val="00E95599"/>
    <w:rsid w:val="00E9657A"/>
    <w:rsid w:val="00EA68FD"/>
    <w:rsid w:val="00EA6EA3"/>
    <w:rsid w:val="00EA7446"/>
    <w:rsid w:val="00EA7ADB"/>
    <w:rsid w:val="00EB062C"/>
    <w:rsid w:val="00EB2B79"/>
    <w:rsid w:val="00EB47F0"/>
    <w:rsid w:val="00EB5331"/>
    <w:rsid w:val="00EB5946"/>
    <w:rsid w:val="00EC0758"/>
    <w:rsid w:val="00EC1801"/>
    <w:rsid w:val="00EC214E"/>
    <w:rsid w:val="00EC21C7"/>
    <w:rsid w:val="00EC38C3"/>
    <w:rsid w:val="00EC3BA4"/>
    <w:rsid w:val="00EC54CD"/>
    <w:rsid w:val="00ED26BC"/>
    <w:rsid w:val="00ED4D5D"/>
    <w:rsid w:val="00ED58A2"/>
    <w:rsid w:val="00ED5912"/>
    <w:rsid w:val="00ED69E3"/>
    <w:rsid w:val="00EE5E16"/>
    <w:rsid w:val="00EF244C"/>
    <w:rsid w:val="00EF5019"/>
    <w:rsid w:val="00EF5321"/>
    <w:rsid w:val="00EF5E6C"/>
    <w:rsid w:val="00EF710E"/>
    <w:rsid w:val="00F02B95"/>
    <w:rsid w:val="00F05FA6"/>
    <w:rsid w:val="00F1058B"/>
    <w:rsid w:val="00F14E4C"/>
    <w:rsid w:val="00F16744"/>
    <w:rsid w:val="00F26CED"/>
    <w:rsid w:val="00F316D1"/>
    <w:rsid w:val="00F3373A"/>
    <w:rsid w:val="00F33BE4"/>
    <w:rsid w:val="00F37E27"/>
    <w:rsid w:val="00F40FBF"/>
    <w:rsid w:val="00F415E5"/>
    <w:rsid w:val="00F4297F"/>
    <w:rsid w:val="00F52F49"/>
    <w:rsid w:val="00F530B3"/>
    <w:rsid w:val="00F56838"/>
    <w:rsid w:val="00F56A01"/>
    <w:rsid w:val="00F61032"/>
    <w:rsid w:val="00F626B5"/>
    <w:rsid w:val="00F63557"/>
    <w:rsid w:val="00F65F2E"/>
    <w:rsid w:val="00F66A9A"/>
    <w:rsid w:val="00F67CC3"/>
    <w:rsid w:val="00F70934"/>
    <w:rsid w:val="00F70FE3"/>
    <w:rsid w:val="00F71A7D"/>
    <w:rsid w:val="00F74594"/>
    <w:rsid w:val="00F77ACF"/>
    <w:rsid w:val="00F802B9"/>
    <w:rsid w:val="00F81C47"/>
    <w:rsid w:val="00F835B7"/>
    <w:rsid w:val="00F84FB8"/>
    <w:rsid w:val="00F863FB"/>
    <w:rsid w:val="00F91A9B"/>
    <w:rsid w:val="00F93964"/>
    <w:rsid w:val="00F93E53"/>
    <w:rsid w:val="00F94E86"/>
    <w:rsid w:val="00F96D3D"/>
    <w:rsid w:val="00FA2F5C"/>
    <w:rsid w:val="00FA308E"/>
    <w:rsid w:val="00FA3C45"/>
    <w:rsid w:val="00FA7E50"/>
    <w:rsid w:val="00FB33EC"/>
    <w:rsid w:val="00FB4BB5"/>
    <w:rsid w:val="00FC0213"/>
    <w:rsid w:val="00FC1244"/>
    <w:rsid w:val="00FC3699"/>
    <w:rsid w:val="00FD2741"/>
    <w:rsid w:val="00FD403C"/>
    <w:rsid w:val="00FD4848"/>
    <w:rsid w:val="00FD55B0"/>
    <w:rsid w:val="00FD5AFF"/>
    <w:rsid w:val="00FD6C81"/>
    <w:rsid w:val="00FD7BB0"/>
    <w:rsid w:val="00FE0A97"/>
    <w:rsid w:val="00FE2157"/>
    <w:rsid w:val="00FE34C0"/>
    <w:rsid w:val="00FE46CE"/>
    <w:rsid w:val="00FE4B81"/>
    <w:rsid w:val="00FE5C83"/>
    <w:rsid w:val="00FE6AC9"/>
    <w:rsid w:val="00FF0C08"/>
    <w:rsid w:val="00FF1CC4"/>
    <w:rsid w:val="00FF617F"/>
    <w:rsid w:val="00FF7423"/>
    <w:rsid w:val="010020FD"/>
    <w:rsid w:val="010A1351"/>
    <w:rsid w:val="014F2E8B"/>
    <w:rsid w:val="0176597C"/>
    <w:rsid w:val="023C3969"/>
    <w:rsid w:val="02997969"/>
    <w:rsid w:val="02E21879"/>
    <w:rsid w:val="02F456F2"/>
    <w:rsid w:val="04406715"/>
    <w:rsid w:val="06C07A6F"/>
    <w:rsid w:val="085471CB"/>
    <w:rsid w:val="08B31FD6"/>
    <w:rsid w:val="09A714E6"/>
    <w:rsid w:val="0A0D7099"/>
    <w:rsid w:val="0A8921FE"/>
    <w:rsid w:val="0B475673"/>
    <w:rsid w:val="0B6576F5"/>
    <w:rsid w:val="0B6A63A0"/>
    <w:rsid w:val="0D830987"/>
    <w:rsid w:val="0E7E7AD9"/>
    <w:rsid w:val="0E947D89"/>
    <w:rsid w:val="0F0547E3"/>
    <w:rsid w:val="103B333F"/>
    <w:rsid w:val="10D26947"/>
    <w:rsid w:val="111355E0"/>
    <w:rsid w:val="11C02D5E"/>
    <w:rsid w:val="129C7884"/>
    <w:rsid w:val="159A54B5"/>
    <w:rsid w:val="180E582C"/>
    <w:rsid w:val="186E164B"/>
    <w:rsid w:val="18F5243C"/>
    <w:rsid w:val="19471C45"/>
    <w:rsid w:val="1A060034"/>
    <w:rsid w:val="1A7B5B27"/>
    <w:rsid w:val="1B280222"/>
    <w:rsid w:val="1BC06F03"/>
    <w:rsid w:val="1C444858"/>
    <w:rsid w:val="1CD5426B"/>
    <w:rsid w:val="1CEC0D90"/>
    <w:rsid w:val="1E644B9B"/>
    <w:rsid w:val="1E9A63A4"/>
    <w:rsid w:val="1ED00720"/>
    <w:rsid w:val="1ED76702"/>
    <w:rsid w:val="20DD6FC6"/>
    <w:rsid w:val="212B5F55"/>
    <w:rsid w:val="21625939"/>
    <w:rsid w:val="21B7198F"/>
    <w:rsid w:val="21E605BC"/>
    <w:rsid w:val="22590C76"/>
    <w:rsid w:val="22A92D3E"/>
    <w:rsid w:val="24247A83"/>
    <w:rsid w:val="24DE5D36"/>
    <w:rsid w:val="26ED223B"/>
    <w:rsid w:val="282124EA"/>
    <w:rsid w:val="2944750D"/>
    <w:rsid w:val="294856D2"/>
    <w:rsid w:val="295126A7"/>
    <w:rsid w:val="29CA6F40"/>
    <w:rsid w:val="29CE5AA6"/>
    <w:rsid w:val="2A2A1D2A"/>
    <w:rsid w:val="2A830F86"/>
    <w:rsid w:val="2B05115E"/>
    <w:rsid w:val="2BD94365"/>
    <w:rsid w:val="2BE06290"/>
    <w:rsid w:val="2C674CE8"/>
    <w:rsid w:val="2D485B6F"/>
    <w:rsid w:val="2D6706EB"/>
    <w:rsid w:val="2D7448B4"/>
    <w:rsid w:val="2DA60AE7"/>
    <w:rsid w:val="2DC518B5"/>
    <w:rsid w:val="2DC73810"/>
    <w:rsid w:val="2DCC56E5"/>
    <w:rsid w:val="2EF35FAE"/>
    <w:rsid w:val="30130927"/>
    <w:rsid w:val="32A06045"/>
    <w:rsid w:val="32BB2506"/>
    <w:rsid w:val="33667B42"/>
    <w:rsid w:val="341E1D1F"/>
    <w:rsid w:val="34F559A6"/>
    <w:rsid w:val="352754FB"/>
    <w:rsid w:val="35793B67"/>
    <w:rsid w:val="35AF6E39"/>
    <w:rsid w:val="35E31BD2"/>
    <w:rsid w:val="37755D63"/>
    <w:rsid w:val="37A62A66"/>
    <w:rsid w:val="39300062"/>
    <w:rsid w:val="39CB4303"/>
    <w:rsid w:val="39F9459F"/>
    <w:rsid w:val="3A3000B7"/>
    <w:rsid w:val="3AC07D3F"/>
    <w:rsid w:val="3B0D20C5"/>
    <w:rsid w:val="3B1D1CAA"/>
    <w:rsid w:val="3C094A20"/>
    <w:rsid w:val="3C277297"/>
    <w:rsid w:val="3C6F5E83"/>
    <w:rsid w:val="3D2B61E5"/>
    <w:rsid w:val="3D8712F6"/>
    <w:rsid w:val="3D881D30"/>
    <w:rsid w:val="3F8B72DF"/>
    <w:rsid w:val="40460634"/>
    <w:rsid w:val="41673975"/>
    <w:rsid w:val="41D37E22"/>
    <w:rsid w:val="41EE70A1"/>
    <w:rsid w:val="42914445"/>
    <w:rsid w:val="430B346F"/>
    <w:rsid w:val="431B79CA"/>
    <w:rsid w:val="433C2B5B"/>
    <w:rsid w:val="43A812B9"/>
    <w:rsid w:val="43DD0009"/>
    <w:rsid w:val="4404683C"/>
    <w:rsid w:val="46390424"/>
    <w:rsid w:val="48A028AB"/>
    <w:rsid w:val="48F743FC"/>
    <w:rsid w:val="48F7696F"/>
    <w:rsid w:val="490948F4"/>
    <w:rsid w:val="4AFA79B9"/>
    <w:rsid w:val="4B2A0166"/>
    <w:rsid w:val="4B3F45FD"/>
    <w:rsid w:val="4BB02E05"/>
    <w:rsid w:val="4BD86DC5"/>
    <w:rsid w:val="4C8449BE"/>
    <w:rsid w:val="4D872FB7"/>
    <w:rsid w:val="4E7F7A2B"/>
    <w:rsid w:val="4F436AA0"/>
    <w:rsid w:val="515D678A"/>
    <w:rsid w:val="51954F96"/>
    <w:rsid w:val="52036385"/>
    <w:rsid w:val="524A3FB4"/>
    <w:rsid w:val="52C378C2"/>
    <w:rsid w:val="52F8213F"/>
    <w:rsid w:val="535448D9"/>
    <w:rsid w:val="53D2230C"/>
    <w:rsid w:val="53E56051"/>
    <w:rsid w:val="53F62838"/>
    <w:rsid w:val="550B72FE"/>
    <w:rsid w:val="55DA38A0"/>
    <w:rsid w:val="55E8212B"/>
    <w:rsid w:val="56ED13B1"/>
    <w:rsid w:val="58CA2EE6"/>
    <w:rsid w:val="594117FF"/>
    <w:rsid w:val="59DA329D"/>
    <w:rsid w:val="5A2C0443"/>
    <w:rsid w:val="5ABE7AB0"/>
    <w:rsid w:val="5B595267"/>
    <w:rsid w:val="5BD51D63"/>
    <w:rsid w:val="5C186984"/>
    <w:rsid w:val="5C45534E"/>
    <w:rsid w:val="5E1964E8"/>
    <w:rsid w:val="5E2975BD"/>
    <w:rsid w:val="5E7F0455"/>
    <w:rsid w:val="60EF1711"/>
    <w:rsid w:val="617A1A94"/>
    <w:rsid w:val="621B5668"/>
    <w:rsid w:val="62514EEA"/>
    <w:rsid w:val="62D06D1B"/>
    <w:rsid w:val="62E554DF"/>
    <w:rsid w:val="62EC4C13"/>
    <w:rsid w:val="63DA6884"/>
    <w:rsid w:val="649D65BE"/>
    <w:rsid w:val="650725B8"/>
    <w:rsid w:val="67780823"/>
    <w:rsid w:val="678F54D1"/>
    <w:rsid w:val="679F743D"/>
    <w:rsid w:val="684352D5"/>
    <w:rsid w:val="6864524C"/>
    <w:rsid w:val="68784F8E"/>
    <w:rsid w:val="68D02927"/>
    <w:rsid w:val="694035C3"/>
    <w:rsid w:val="6A040A94"/>
    <w:rsid w:val="6A59237F"/>
    <w:rsid w:val="6B56531F"/>
    <w:rsid w:val="6B795330"/>
    <w:rsid w:val="6B981494"/>
    <w:rsid w:val="6C612FA7"/>
    <w:rsid w:val="6D170ADE"/>
    <w:rsid w:val="6E175244"/>
    <w:rsid w:val="6E3B405B"/>
    <w:rsid w:val="6E7A1325"/>
    <w:rsid w:val="6E9F10CE"/>
    <w:rsid w:val="6F410095"/>
    <w:rsid w:val="6FB95E7D"/>
    <w:rsid w:val="70DF7707"/>
    <w:rsid w:val="71336016"/>
    <w:rsid w:val="715A3623"/>
    <w:rsid w:val="71AB1E3E"/>
    <w:rsid w:val="728A58AF"/>
    <w:rsid w:val="72AB6A17"/>
    <w:rsid w:val="72EE2AB3"/>
    <w:rsid w:val="72F35B4A"/>
    <w:rsid w:val="73966C01"/>
    <w:rsid w:val="74246186"/>
    <w:rsid w:val="74602290"/>
    <w:rsid w:val="74674E7F"/>
    <w:rsid w:val="749068E5"/>
    <w:rsid w:val="74BF107A"/>
    <w:rsid w:val="74CE4179"/>
    <w:rsid w:val="76472867"/>
    <w:rsid w:val="76D10E3A"/>
    <w:rsid w:val="771A72CE"/>
    <w:rsid w:val="77852348"/>
    <w:rsid w:val="77D2569E"/>
    <w:rsid w:val="77DE5429"/>
    <w:rsid w:val="78B83176"/>
    <w:rsid w:val="78ED7B09"/>
    <w:rsid w:val="79641B38"/>
    <w:rsid w:val="7A6A4BCC"/>
    <w:rsid w:val="7ABB5667"/>
    <w:rsid w:val="7B8378D4"/>
    <w:rsid w:val="7B927228"/>
    <w:rsid w:val="7B9A4DB4"/>
    <w:rsid w:val="7C4F55F2"/>
    <w:rsid w:val="7DC0487A"/>
    <w:rsid w:val="7E370FE0"/>
    <w:rsid w:val="7E88314F"/>
    <w:rsid w:val="7F22045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b/>
      <w:i/>
      <w:kern w:val="2"/>
      <w:sz w:val="32"/>
      <w:szCs w:val="24"/>
      <w:lang w:val="en-US" w:eastAsia="zh-CN" w:bidi="ar-SA"/>
    </w:rPr>
  </w:style>
  <w:style w:type="paragraph" w:styleId="2">
    <w:name w:val="heading 1"/>
    <w:basedOn w:val="1"/>
    <w:next w:val="1"/>
    <w:link w:val="15"/>
    <w:qFormat/>
    <w:locked/>
    <w:uiPriority w:val="0"/>
    <w:pPr>
      <w:keepNext/>
      <w:keepLines/>
      <w:spacing w:before="340" w:after="330" w:line="578" w:lineRule="auto"/>
      <w:outlineLvl w:val="0"/>
    </w:pPr>
    <w:rPr>
      <w:bCs/>
      <w:kern w:val="44"/>
      <w:sz w:val="44"/>
      <w:szCs w:val="44"/>
    </w:rPr>
  </w:style>
  <w:style w:type="paragraph" w:styleId="3">
    <w:name w:val="heading 2"/>
    <w:basedOn w:val="1"/>
    <w:next w:val="1"/>
    <w:link w:val="16"/>
    <w:semiHidden/>
    <w:unhideWhenUsed/>
    <w:qFormat/>
    <w:locked/>
    <w:uiPriority w:val="0"/>
    <w:pPr>
      <w:keepNext/>
      <w:keepLines/>
      <w:spacing w:before="260" w:after="260" w:line="416" w:lineRule="auto"/>
      <w:outlineLvl w:val="1"/>
    </w:pPr>
    <w:rPr>
      <w:rFonts w:asciiTheme="majorHAnsi" w:hAnsiTheme="majorHAnsi" w:eastAsiaTheme="majorEastAsia" w:cstheme="majorBidi"/>
      <w:bCs/>
      <w:szCs w:val="32"/>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link w:val="21"/>
    <w:semiHidden/>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Date"/>
    <w:basedOn w:val="1"/>
    <w:next w:val="1"/>
    <w:link w:val="22"/>
    <w:semiHidden/>
    <w:unhideWhenUsed/>
    <w:qFormat/>
    <w:uiPriority w:val="99"/>
    <w:pPr>
      <w:ind w:left="100" w:leftChars="2500"/>
    </w:pPr>
  </w:style>
  <w:style w:type="paragraph" w:styleId="7">
    <w:name w:val="Balloon Text"/>
    <w:basedOn w:val="1"/>
    <w:link w:val="23"/>
    <w:semiHidden/>
    <w:unhideWhenUsed/>
    <w:qFormat/>
    <w:uiPriority w:val="99"/>
    <w:rPr>
      <w:sz w:val="18"/>
      <w:szCs w:val="18"/>
    </w:rPr>
  </w:style>
  <w:style w:type="paragraph" w:styleId="8">
    <w:name w:val="footer"/>
    <w:basedOn w:val="1"/>
    <w:link w:val="17"/>
    <w:qFormat/>
    <w:uiPriority w:val="99"/>
    <w:pPr>
      <w:tabs>
        <w:tab w:val="center" w:pos="4153"/>
        <w:tab w:val="right" w:pos="8306"/>
      </w:tabs>
      <w:snapToGrid w:val="0"/>
      <w:jc w:val="left"/>
    </w:pPr>
    <w:rPr>
      <w:rFonts w:ascii="Calibri" w:hAnsi="Calibri"/>
      <w:b w:val="0"/>
      <w:i w:val="0"/>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rFonts w:ascii="Calibri" w:hAnsi="Calibri"/>
      <w:b w:val="0"/>
      <w:i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b w:val="0"/>
      <w:i w:val="0"/>
      <w:kern w:val="0"/>
      <w:sz w:val="24"/>
    </w:rPr>
  </w:style>
  <w:style w:type="character" w:styleId="12">
    <w:name w:val="annotation reference"/>
    <w:basedOn w:val="11"/>
    <w:semiHidden/>
    <w:unhideWhenUsed/>
    <w:qFormat/>
    <w:uiPriority w:val="99"/>
    <w:rPr>
      <w:sz w:val="21"/>
      <w:szCs w:val="21"/>
    </w:rPr>
  </w:style>
  <w:style w:type="table" w:styleId="14">
    <w:name w:val="Table Grid"/>
    <w:basedOn w:val="13"/>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5">
    <w:name w:val="标题 1 字符"/>
    <w:basedOn w:val="11"/>
    <w:link w:val="2"/>
    <w:qFormat/>
    <w:uiPriority w:val="0"/>
    <w:rPr>
      <w:rFonts w:ascii="Times New Roman" w:hAnsi="Times New Roman"/>
      <w:b/>
      <w:bCs/>
      <w:i/>
      <w:kern w:val="44"/>
      <w:sz w:val="44"/>
      <w:szCs w:val="44"/>
    </w:rPr>
  </w:style>
  <w:style w:type="character" w:customStyle="1" w:styleId="16">
    <w:name w:val="标题 2 字符"/>
    <w:basedOn w:val="11"/>
    <w:link w:val="3"/>
    <w:semiHidden/>
    <w:qFormat/>
    <w:uiPriority w:val="0"/>
    <w:rPr>
      <w:rFonts w:asciiTheme="majorHAnsi" w:hAnsiTheme="majorHAnsi" w:eastAsiaTheme="majorEastAsia" w:cstheme="majorBidi"/>
      <w:b/>
      <w:bCs/>
      <w:i/>
      <w:kern w:val="2"/>
      <w:sz w:val="32"/>
      <w:szCs w:val="32"/>
    </w:rPr>
  </w:style>
  <w:style w:type="character" w:customStyle="1" w:styleId="17">
    <w:name w:val="页脚 字符"/>
    <w:link w:val="8"/>
    <w:qFormat/>
    <w:locked/>
    <w:uiPriority w:val="99"/>
    <w:rPr>
      <w:rFonts w:cs="Times New Roman"/>
      <w:sz w:val="18"/>
      <w:szCs w:val="18"/>
    </w:rPr>
  </w:style>
  <w:style w:type="character" w:customStyle="1" w:styleId="18">
    <w:name w:val="页眉 字符"/>
    <w:link w:val="9"/>
    <w:qFormat/>
    <w:locked/>
    <w:uiPriority w:val="99"/>
    <w:rPr>
      <w:rFonts w:cs="Times New Roman"/>
      <w:sz w:val="18"/>
      <w:szCs w:val="18"/>
    </w:rPr>
  </w:style>
  <w:style w:type="paragraph" w:customStyle="1" w:styleId="19">
    <w:name w:val="p0"/>
    <w:basedOn w:val="1"/>
    <w:qFormat/>
    <w:uiPriority w:val="99"/>
    <w:pPr>
      <w:widowControl/>
    </w:pPr>
    <w:rPr>
      <w:rFonts w:ascii="Calibri" w:hAnsi="Calibri" w:cs="宋体"/>
      <w:b w:val="0"/>
      <w:i w:val="0"/>
      <w:kern w:val="0"/>
      <w:sz w:val="21"/>
      <w:szCs w:val="21"/>
    </w:rPr>
  </w:style>
  <w:style w:type="paragraph" w:styleId="20">
    <w:name w:val="List Paragraph"/>
    <w:basedOn w:val="1"/>
    <w:qFormat/>
    <w:uiPriority w:val="99"/>
    <w:pPr>
      <w:ind w:firstLine="420" w:firstLineChars="200"/>
    </w:pPr>
    <w:rPr>
      <w:rFonts w:ascii="Calibri" w:hAnsi="Calibri"/>
      <w:b w:val="0"/>
      <w:i w:val="0"/>
      <w:sz w:val="21"/>
      <w:szCs w:val="22"/>
    </w:rPr>
  </w:style>
  <w:style w:type="character" w:customStyle="1" w:styleId="21">
    <w:name w:val="文档结构图 字符"/>
    <w:basedOn w:val="11"/>
    <w:link w:val="4"/>
    <w:semiHidden/>
    <w:qFormat/>
    <w:uiPriority w:val="99"/>
    <w:rPr>
      <w:rFonts w:ascii="宋体" w:hAnsi="Times New Roman"/>
      <w:b/>
      <w:i/>
      <w:kern w:val="2"/>
      <w:sz w:val="18"/>
      <w:szCs w:val="18"/>
    </w:rPr>
  </w:style>
  <w:style w:type="character" w:customStyle="1" w:styleId="22">
    <w:name w:val="日期 字符"/>
    <w:basedOn w:val="11"/>
    <w:link w:val="6"/>
    <w:semiHidden/>
    <w:qFormat/>
    <w:uiPriority w:val="99"/>
    <w:rPr>
      <w:rFonts w:ascii="Times New Roman" w:hAnsi="Times New Roman"/>
      <w:b/>
      <w:i/>
      <w:kern w:val="2"/>
      <w:sz w:val="32"/>
      <w:szCs w:val="24"/>
    </w:rPr>
  </w:style>
  <w:style w:type="character" w:customStyle="1" w:styleId="23">
    <w:name w:val="批注框文本 字符"/>
    <w:basedOn w:val="11"/>
    <w:link w:val="7"/>
    <w:semiHidden/>
    <w:qFormat/>
    <w:uiPriority w:val="99"/>
    <w:rPr>
      <w:rFonts w:ascii="Times New Roman" w:hAnsi="Times New Roman"/>
      <w:b/>
      <w:i/>
      <w:kern w:val="2"/>
      <w:sz w:val="18"/>
      <w:szCs w:val="18"/>
    </w:rPr>
  </w:style>
  <w:style w:type="paragraph" w:customStyle="1" w:styleId="24">
    <w:name w:val="WPSOffice手动目录 1"/>
    <w:qFormat/>
    <w:uiPriority w:val="0"/>
    <w:pPr>
      <w:spacing w:after="160" w:line="278" w:lineRule="auto"/>
    </w:pPr>
    <w:rPr>
      <w:rFonts w:ascii="Times New Roman" w:hAnsi="Times New Roman" w:eastAsia="宋体" w:cs="Times New Roman"/>
      <w:lang w:val="en-US" w:eastAsia="zh-CN" w:bidi="ar-SA"/>
    </w:rPr>
  </w:style>
  <w:style w:type="character" w:customStyle="1" w:styleId="25">
    <w:name w:val="font101"/>
    <w:basedOn w:val="11"/>
    <w:qFormat/>
    <w:uiPriority w:val="0"/>
    <w:rPr>
      <w:rFonts w:hint="eastAsia" w:ascii="宋体" w:hAnsi="宋体" w:eastAsia="宋体" w:cs="宋体"/>
      <w:b/>
      <w:bCs/>
      <w:color w:val="000000"/>
      <w:sz w:val="40"/>
      <w:szCs w:val="40"/>
      <w:u w:val="none"/>
    </w:rPr>
  </w:style>
  <w:style w:type="character" w:customStyle="1" w:styleId="26">
    <w:name w:val="font51"/>
    <w:basedOn w:val="11"/>
    <w:qFormat/>
    <w:uiPriority w:val="0"/>
    <w:rPr>
      <w:rFonts w:hint="eastAsia" w:ascii="宋体" w:hAnsi="宋体" w:eastAsia="宋体" w:cs="宋体"/>
      <w:color w:val="000000"/>
      <w:sz w:val="40"/>
      <w:szCs w:val="40"/>
      <w:u w:val="none"/>
    </w:rPr>
  </w:style>
  <w:style w:type="character" w:customStyle="1" w:styleId="27">
    <w:name w:val="font41"/>
    <w:basedOn w:val="11"/>
    <w:qFormat/>
    <w:uiPriority w:val="0"/>
    <w:rPr>
      <w:rFonts w:hint="eastAsia" w:ascii="宋体" w:hAnsi="宋体" w:eastAsia="宋体" w:cs="宋体"/>
      <w:color w:val="000000"/>
      <w:sz w:val="18"/>
      <w:szCs w:val="18"/>
      <w:u w:val="none"/>
    </w:rPr>
  </w:style>
  <w:style w:type="character" w:customStyle="1" w:styleId="28">
    <w:name w:val="font11"/>
    <w:basedOn w:val="11"/>
    <w:qFormat/>
    <w:uiPriority w:val="0"/>
    <w:rPr>
      <w:rFonts w:hint="eastAsia" w:ascii="宋体" w:hAnsi="宋体" w:eastAsia="宋体" w:cs="宋体"/>
      <w:color w:val="000000"/>
      <w:sz w:val="18"/>
      <w:szCs w:val="18"/>
      <w:u w:val="none"/>
    </w:rPr>
  </w:style>
  <w:style w:type="character" w:customStyle="1" w:styleId="29">
    <w:name w:val="font121"/>
    <w:basedOn w:val="11"/>
    <w:qFormat/>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02BDC0-0A67-43D7-A47A-B155B6259D82}">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11</Pages>
  <Words>703</Words>
  <Characters>4012</Characters>
  <Lines>33</Lines>
  <Paragraphs>9</Paragraphs>
  <TotalTime>16</TotalTime>
  <ScaleCrop>false</ScaleCrop>
  <LinksUpToDate>false</LinksUpToDate>
  <CharactersWithSpaces>4706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2024-09-24T06:50:00Z</dcterms:created>
  <dc:creator>何金花</dc:creator>
  <cp:lastModifiedBy>呆瓜</cp:lastModifiedBy>
  <cp:lastPrinted>2025-09-23T02:37:21Z</cp:lastPrinted>
  <dcterms:modified xsi:type="dcterms:W3CDTF">2025-09-23T02:38:08Z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523DFFAA5B6243F080ECE685E3D3D29C</vt:lpwstr>
  </property>
</Properties>
</file>