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98C12">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2024年度平安乡部门整体支出绩效      自评报告</w:t>
      </w:r>
    </w:p>
    <w:p w14:paraId="20F5FFBA">
      <w:pPr>
        <w:jc w:val="both"/>
        <w:rPr>
          <w:rFonts w:hint="eastAsia" w:ascii="黑体" w:hAnsi="黑体" w:eastAsia="黑体" w:cs="黑体"/>
          <w:sz w:val="30"/>
          <w:szCs w:val="30"/>
          <w:lang w:val="en-US" w:eastAsia="zh-CN"/>
        </w:rPr>
      </w:pPr>
    </w:p>
    <w:p w14:paraId="34A06B68">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部门（单位）概况</w:t>
      </w:r>
    </w:p>
    <w:p w14:paraId="3250F9F9">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机构组成</w:t>
      </w:r>
    </w:p>
    <w:p w14:paraId="3EFE23CE">
      <w:pPr>
        <w:numPr>
          <w:ilvl w:val="0"/>
          <w:numId w:val="0"/>
        </w:num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平安乡党委、政府下设4个内设机构：党政综合办公室、党建工作办公室、经济发展和社会事务办公室、平安法制办公室（社会治安综合治理中心）。乡人大办公室、乡纪委（监察室）、人民武装部、总工会、共青团、妇联等按有关规定或章程设置，接受乡党委的领导。事业单位下设3个公益一类事业单位：党群服务中心（新时代文明实践所、退役军人服务站）、农业农村综合服务中心和综合执法队。</w:t>
      </w:r>
    </w:p>
    <w:p w14:paraId="3E2EA885">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机构职能</w:t>
      </w:r>
    </w:p>
    <w:p w14:paraId="5F570B8F">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1.党政综合办公室。负责党委、政府机关日常事务办理和综合协调等工作;负责意识形态、思想宣传、统一战线、机构编制、民族宗教、精神文明建设等工作;负责统筹推进</w:t>
      </w:r>
      <w:bookmarkStart w:id="0" w:name="_GoBack"/>
      <w:bookmarkEnd w:id="0"/>
      <w:r>
        <w:rPr>
          <w:rFonts w:hint="eastAsia" w:ascii="仿宋_GB2312" w:hAnsi="仿宋_GB2312" w:eastAsia="仿宋_GB2312" w:cs="仿宋_GB2312"/>
          <w:sz w:val="32"/>
          <w:szCs w:val="32"/>
          <w:lang w:val="en-US" w:eastAsia="zh-CN"/>
        </w:rPr>
        <w:t>权责清单制度建设工作;负责公文起草审核、文电收发、保密、机要、政务公开、档案资产管理、督查考核、人事劳资、机关后勤等工作;负责人大建议、政协提案办理和政协委员联络等工作。</w:t>
      </w:r>
    </w:p>
    <w:p w14:paraId="027F6478">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建工作办公室。负责基层党的政治建设、思想建设、组织建设、作风建设和制度建设等工作;负责党员干部监督管理、教育培训、考核考评和人才队伍建设等工作;负责党代会代表联络、离退休党员服务保障等相关工作;负责指导辖区内小微企业、社会组织及新领域、新业态、新群体党建工作;负责协调指导工会、团委、妇联等群团开展有关工作。</w:t>
      </w:r>
    </w:p>
    <w:p w14:paraId="07A48279">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济发展和社会事务办公室。负责制订实施国民经济和社会发展规划等工作;负责工信、科技、金融、审计、统计等工作;负责商贸物流、电子商务等工作;负责乡村振兴战略具体实施，各类涉农资金监管、产业发展规划、招商引资、乡村规划、新型城乡化建设等工作;负责社会保障、社会救助、卫生健康、医疗保障、住房保障、公共就业、劳动保障、教育、计划生育、民政事务、农村社区管理等工作。负责自然资源、环境卫生、污染防治等生态环境保护工作，承担农村生活垃圾的日常监督管理工作。</w:t>
      </w:r>
    </w:p>
    <w:p w14:paraId="1ADD30CB">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治安综合治理中心。负责基层民主政治建设和村社治理、政法、综治维稳、网络安全、舆情监测、护路护线、禁毒、反、信访投诉、人民调解、行政调解、平安建设等工作；负责人民防空、安全生产、交通安全、粮食安全、物资储备等工作；;负责网格化监管任务和事项清单制定完善，研判预警、协调联动、问题转办、督查考核等工作；负责各类自然灾害和公共突发事件应急预案的制定实施工作；负责防汛抗旱、森林草原防火、地震和地质灾害等防灾救灾减灾及突发公共事件的应急管理、救援和处置工作；负责各种防灾救灾物资设施的保障维护、分配管理和监督使用等工作。</w:t>
      </w:r>
    </w:p>
    <w:p w14:paraId="617E8431">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党群服务中心（新时代文明实践所、退役军人服务站）。负责各项政务服务事项受理办理等工作;负责12445政务服务热线转办受理工作;负责指导村社便民服务站和网上服务站点建设管理工作;负责修订完善公共服务事项目录清单、办事指南和工作规程等工作;负责推行“-站式”服务和“最多跑一次改革”各项工作;负责社会救助、社会保障、医疗保险、养老保险、社会保险、计生、卫生、老龄、婚姻、不动产登记等便民服务工作;负责退役军人来信来访、权益维护、拥军优抚、信息采集等工作。</w:t>
      </w:r>
    </w:p>
    <w:p w14:paraId="259EC211">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农业农村综合服务中心。负责农林水牧渔等方面的技术引进、推广、服务和应用等工作;负责农业合作经济组织建设发展、产业开发、农村经营等工作;负责农业机械化技术推广等工作;负责各类技术人才和职业农民的教育、培训、业务指导等工作;负责各类农业灾害防治、农作物病虫害监测防治、动植物疫病防控防治等工作;负责农产品质量检验检测等工作;负责农村公路管护等工作。</w:t>
      </w:r>
    </w:p>
    <w:p w14:paraId="5D76B64B">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7.综合行政执法队。根据县政府赋权事项目录，按照有关法律规定相对集中行使行政处罚权;负责权限外执法事项的日常巡查、接受投诉举报和协助调查取证等工作。</w:t>
      </w:r>
    </w:p>
    <w:p w14:paraId="4BD1C1E4">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安乡工会、妇联和共青团等群众团体机构，按照有关法规和章程设置，履行相应职能。平安乡人大办公室、监察室、人民武装部、财政所、市场监督管理所、司法所和乡村振兴工作站等机构按有关规定设置，履行相关职责，接受乡党委的领导。</w:t>
      </w:r>
    </w:p>
    <w:p w14:paraId="324832DC">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人员概况</w:t>
      </w:r>
    </w:p>
    <w:p w14:paraId="57E72CB5">
      <w:pPr>
        <w:numPr>
          <w:ilvl w:val="0"/>
          <w:numId w:val="3"/>
        </w:numPr>
        <w:tabs>
          <w:tab w:val="left" w:pos="0"/>
          <w:tab w:val="clear" w:pos="312"/>
        </w:tabs>
        <w:ind w:firstLine="64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平安乡核定机关行政编制16名。平安乡党政内设机构均为股级。平安乡核定全额拨款事业编制共24名。平安乡事业单位类别均为公益一类，综合行政执法队机构规格为正科级建制，其他事业单位机构规格为副科级建制。</w:t>
      </w:r>
    </w:p>
    <w:p w14:paraId="24D5B4B8">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部门财政资金收支情况</w:t>
      </w:r>
    </w:p>
    <w:p w14:paraId="54A77DC0">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（一）部门财政资金收入情况</w:t>
      </w:r>
    </w:p>
    <w:p w14:paraId="34947D8D">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2024年部门决算财政拨款收入1202.4万元，其中一般公共预算财政拨款收入1199.43万元。</w:t>
      </w:r>
    </w:p>
    <w:p w14:paraId="5EC10763">
      <w:pPr>
        <w:numPr>
          <w:ilvl w:val="0"/>
          <w:numId w:val="4"/>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部门财政资金支出情况</w:t>
      </w:r>
    </w:p>
    <w:p w14:paraId="137300CF">
      <w:pPr>
        <w:numPr>
          <w:ilvl w:val="0"/>
          <w:numId w:val="0"/>
        </w:numPr>
        <w:jc w:val="both"/>
        <w:rPr>
          <w:rFonts w:hint="default"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 xml:space="preserve">   2024年部门决算支出1202.4万元，年末结转0万元，其中基本支出701.27万元，项目支出501.13万元；按支出功能分类：一般公共服务支出796.9万元，文化旅游体育与传媒支出5.0万元，社会保障和就业支出77.99万元，卫生健康支出31.91万元，农林水支出127.27万元，住房保障支出50.36万元，灾害防治及应急管理支出110万元，其他支出2.97万元。</w:t>
      </w:r>
    </w:p>
    <w:p w14:paraId="22054FA3">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部门整体预算绩效管理情况</w:t>
      </w:r>
    </w:p>
    <w:p w14:paraId="2B1D108F">
      <w:pPr>
        <w:numPr>
          <w:ilvl w:val="0"/>
          <w:numId w:val="0"/>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（一）部门预算管理</w:t>
      </w:r>
    </w:p>
    <w:p w14:paraId="617AFDEF">
      <w:pPr>
        <w:numPr>
          <w:ilvl w:val="0"/>
          <w:numId w:val="0"/>
        </w:numPr>
        <w:ind w:left="19" w:leftChars="9" w:firstLine="620" w:firstLineChars="194"/>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乡按照财政预算编制规定和要求，结合单位年度工作计划采取人员经费按照县委组织部审核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人性化,并在规定的时限内完整、准确的报送到县级财政部门。预算资金保障了人员经费支出和单位正常运转需要，保证了单位全年工作任务的完成。</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县经济、社会发展。特别是在“三公”经费方面加强管理，不该报销的一律不给报销，严格把支出控制在年初的预算指标内，严格按照中央八项规定及其实施细则、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 </w:t>
      </w:r>
    </w:p>
    <w:p w14:paraId="68E4BB08">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结果运用情况</w:t>
      </w:r>
    </w:p>
    <w:p w14:paraId="2803198D">
      <w:pPr>
        <w:numPr>
          <w:ilvl w:val="0"/>
          <w:numId w:val="5"/>
        </w:numPr>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结果应用情况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1.年初部门预算绩效目标完成情况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我乡严格遵守各项财经纪律，加强单位财务管理，制定了相关规章制度，加强和细化了预算编制，严格按照预算执行，确保财务收支平衡。按照全年进度保证机关正常工作需要的人员经费和公用经费,保障机关正常运转，完成日常工作任务，有效推动工作的顺利开展。</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(2)效益指标完成情况分析。我乡主要安排用于一般公共服务支出、社会保障和就业支出、卫生健康支出、节能环保支出、农林水支出、灾害防治及应急管理支出和其他支出等。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(4)满意度指标完成情况分析。通过财政绩效目标管理，基本达到满意。</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2.项目资金绩效目标完成情况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(1)产出指标完成情况分析。对项目资金的预算，提出具体的项目、目标和实施计划，精准编制项目支出绩效申报表，提供准确的项目支撑依据，切实做到项目资金编制的合理化、人性化，并在规定的时限内完整、准确的报送到县级财政部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在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项目资金分配严格按照实际工作需要，依据项目进度和开展情况、合理安全、资金严格按照规范程序申请、管理和使用。</w:t>
      </w:r>
    </w:p>
    <w:p w14:paraId="7538D94E">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评价结论及建议</w:t>
      </w:r>
    </w:p>
    <w:p w14:paraId="7D526277">
      <w:pPr>
        <w:numPr>
          <w:ilvl w:val="0"/>
          <w:numId w:val="6"/>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评价结论</w:t>
      </w:r>
    </w:p>
    <w:p w14:paraId="4ADA585B">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根据部门整体支出绩效评价指标体系自评表检查情况，综合得分98分（总分为100分），总体考核等次确定为“优秀”。</w:t>
      </w:r>
    </w:p>
    <w:p w14:paraId="31A2CFCD">
      <w:pPr>
        <w:numPr>
          <w:ilvl w:val="0"/>
          <w:numId w:val="6"/>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存在问题</w:t>
      </w:r>
    </w:p>
    <w:p w14:paraId="091AE08C">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1.管理制度不完善，无绩效管理相关制度。</w:t>
      </w:r>
    </w:p>
    <w:p w14:paraId="60422E7C">
      <w:pPr>
        <w:numPr>
          <w:ilvl w:val="0"/>
          <w:numId w:val="0"/>
        </w:numPr>
        <w:ind w:firstLine="640" w:firstLineChars="200"/>
        <w:jc w:val="both"/>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2.绩效评价工作未能全面开展宣传培训。自评覆盖率低，绩效评价质量不高。</w:t>
      </w:r>
    </w:p>
    <w:p w14:paraId="7BE483B1">
      <w:pPr>
        <w:numPr>
          <w:ilvl w:val="0"/>
          <w:numId w:val="6"/>
        </w:numPr>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改进建议</w:t>
      </w:r>
    </w:p>
    <w:p w14:paraId="715F30B1">
      <w:pPr>
        <w:numPr>
          <w:ilvl w:val="0"/>
          <w:numId w:val="0"/>
        </w:numPr>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1.完善绩效管理制度，全面公开较小信息，接受社会公众监督。</w:t>
      </w:r>
    </w:p>
    <w:p w14:paraId="71136E24">
      <w:pPr>
        <w:numPr>
          <w:ilvl w:val="0"/>
          <w:numId w:val="0"/>
        </w:numPr>
        <w:ind w:firstLine="640" w:firstLineChars="200"/>
        <w:jc w:val="both"/>
        <w:rPr>
          <w:rFonts w:hint="eastAsia" w:ascii="黑体" w:hAnsi="黑体" w:eastAsia="黑体" w:cs="黑体"/>
          <w:sz w:val="30"/>
          <w:szCs w:val="30"/>
          <w:lang w:val="en-US" w:eastAsia="zh-CN"/>
        </w:rPr>
      </w:pPr>
      <w:r>
        <w:rPr>
          <w:rFonts w:hint="eastAsia" w:ascii="仿宋_GB2312" w:hAnsi="仿宋_GB2312" w:eastAsia="仿宋_GB2312" w:cs="仿宋_GB2312"/>
          <w:sz w:val="32"/>
          <w:szCs w:val="32"/>
          <w:lang w:val="en-US" w:eastAsia="zh-CN"/>
        </w:rPr>
        <w:t>2.加强评价结果应用。对绩效好的政策和项目原则上优先保障，对绩效一般的政策和项目要督促改进。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B9445DB3"/>
    <w:multiLevelType w:val="singleLevel"/>
    <w:tmpl w:val="B9445DB3"/>
    <w:lvl w:ilvl="0" w:tentative="0">
      <w:start w:val="2"/>
      <w:numFmt w:val="chineseCounting"/>
      <w:suff w:val="nothing"/>
      <w:lvlText w:val="（%1）"/>
      <w:lvlJc w:val="left"/>
      <w:rPr>
        <w:rFonts w:hint="eastAsia"/>
      </w:rPr>
    </w:lvl>
  </w:abstractNum>
  <w:abstractNum w:abstractNumId="2">
    <w:nsid w:val="D24DBE41"/>
    <w:multiLevelType w:val="singleLevel"/>
    <w:tmpl w:val="D24DBE41"/>
    <w:lvl w:ilvl="0" w:tentative="0">
      <w:start w:val="1"/>
      <w:numFmt w:val="chineseCounting"/>
      <w:suff w:val="nothing"/>
      <w:lvlText w:val="（%1）"/>
      <w:lvlJc w:val="left"/>
      <w:rPr>
        <w:rFonts w:hint="eastAsia"/>
      </w:rPr>
    </w:lvl>
  </w:abstractNum>
  <w:abstractNum w:abstractNumId="3">
    <w:nsid w:val="DE4ECD6B"/>
    <w:multiLevelType w:val="singleLevel"/>
    <w:tmpl w:val="DE4ECD6B"/>
    <w:lvl w:ilvl="0" w:tentative="0">
      <w:start w:val="1"/>
      <w:numFmt w:val="chineseCounting"/>
      <w:suff w:val="nothing"/>
      <w:lvlText w:val="（%1）"/>
      <w:lvlJc w:val="left"/>
      <w:rPr>
        <w:rFonts w:hint="eastAsia"/>
      </w:rPr>
    </w:lvl>
  </w:abstractNum>
  <w:abstractNum w:abstractNumId="4">
    <w:nsid w:val="3FD4AB63"/>
    <w:multiLevelType w:val="singleLevel"/>
    <w:tmpl w:val="3FD4AB63"/>
    <w:lvl w:ilvl="0" w:tentative="0">
      <w:start w:val="1"/>
      <w:numFmt w:val="decimal"/>
      <w:lvlText w:val="%1."/>
      <w:lvlJc w:val="left"/>
      <w:pPr>
        <w:tabs>
          <w:tab w:val="left" w:pos="312"/>
        </w:tabs>
      </w:pPr>
    </w:lvl>
  </w:abstractNum>
  <w:abstractNum w:abstractNumId="5">
    <w:nsid w:val="41B82468"/>
    <w:multiLevelType w:val="singleLevel"/>
    <w:tmpl w:val="41B8246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2QxZGUwYjc0ZWFjMTM4ODI3ODM4N2Y3NGE3MWQifQ=="/>
  </w:docVars>
  <w:rsids>
    <w:rsidRoot w:val="421C3EF5"/>
    <w:rsid w:val="049A7EF2"/>
    <w:rsid w:val="04BE4B89"/>
    <w:rsid w:val="1467076A"/>
    <w:rsid w:val="17043AF2"/>
    <w:rsid w:val="20943C19"/>
    <w:rsid w:val="2CC63DBB"/>
    <w:rsid w:val="2DE021B6"/>
    <w:rsid w:val="2E073C7C"/>
    <w:rsid w:val="394A7B00"/>
    <w:rsid w:val="3C1004C4"/>
    <w:rsid w:val="421C3EF5"/>
    <w:rsid w:val="48BC5937"/>
    <w:rsid w:val="4B2205A7"/>
    <w:rsid w:val="4EA33BEB"/>
    <w:rsid w:val="4EFB2A6E"/>
    <w:rsid w:val="523E560F"/>
    <w:rsid w:val="59D50A38"/>
    <w:rsid w:val="5BF074F3"/>
    <w:rsid w:val="5C423F4D"/>
    <w:rsid w:val="5E947677"/>
    <w:rsid w:val="612E6214"/>
    <w:rsid w:val="64D8371B"/>
    <w:rsid w:val="68A437B6"/>
    <w:rsid w:val="68AB5C8E"/>
    <w:rsid w:val="6A20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3225</Words>
  <Characters>3318</Characters>
  <Lines>0</Lines>
  <Paragraphs>0</Paragraphs>
  <TotalTime>13</TotalTime>
  <ScaleCrop>false</ScaleCrop>
  <LinksUpToDate>false</LinksUpToDate>
  <CharactersWithSpaces>3362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WPS_1736562839</cp:lastModifiedBy>
  <dcterms:modified xsi:type="dcterms:W3CDTF">2025-09-17T05:32:59Z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94ED724678F3431BB5C8991ACBB51D90</vt:lpwstr>
  </property>
  <property fmtid="{D5CDD505-2E9C-101B-9397-08002B2CF9AE}" pid="4" name="KSOTemplateDocerSaveRecord">
    <vt:lpwstr>eyJoZGlkIjoiYzkxMWZmZmJhYTRmOTRlNDhhNjQ2Y2Y4MTlmMTM1MTYiLCJ1c2VySWQiOiIxNjczODg4MzM2In0=</vt:lpwstr>
  </property>
</Properties>
</file>