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张家川县张川镇中心卫生院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年度单位整体支出绩效自评表</w:t>
      </w:r>
    </w:p>
    <w:tbl>
      <w:tblPr>
        <w:tblStyle w:val="2"/>
        <w:tblpPr w:leftFromText="180" w:rightFromText="180" w:vertAnchor="text" w:horzAnchor="page" w:tblpX="1467" w:tblpY="7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30"/>
        <w:gridCol w:w="1200"/>
        <w:gridCol w:w="1635"/>
        <w:gridCol w:w="1245"/>
        <w:gridCol w:w="1260"/>
        <w:gridCol w:w="720"/>
        <w:gridCol w:w="6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2022年</w:t>
            </w:r>
            <w:r>
              <w:rPr>
                <w:rStyle w:val="4"/>
                <w:color w:val="auto"/>
                <w:lang w:val="en-US" w:eastAsia="zh-CN" w:bidi="ar"/>
              </w:rPr>
              <w:t xml:space="preserve">  张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 xml:space="preserve">家川县木河乡卫生院 </w:t>
            </w:r>
            <w:r>
              <w:rPr>
                <w:rStyle w:val="4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>部门（单位）整体支出绩效自评表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8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县木河乡卫生院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部门（单位）整体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实际支出数（B）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全年支出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81.33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81.33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136.9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168.3%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其中：基本支出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81.33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81.33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168.3%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年度总体绩效目标完成情况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目标1：保障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木河乡卫生院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在职人员工资收入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目标2：维护职工合法权益，确保职工队伍和谐稳定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168.3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产出数量指标：在职人员数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产出质量指标：在职人员工资核定准确率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产出成本指标：在职人员工资支出成本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产出时效指标：在职人员工资支出及时率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经济效益指标：增加在职人员工资收入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社会效益指标：维护职工合法权益，确保职工队伍和谐稳定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生态效益指标：无生态效益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中长期规划建设完善情况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减少人才流失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档案管理完备性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信息化建设情况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信息化管理覆盖率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其他需要说明的问题：请在此处简要说明中央和省、市、县巡视、各级审计和财政监督中发现的问题及其所涉及的金额，如没有填无。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 1.部门（单位）整体支出绩效自评采取打分评价形式，满分为100分，各部门可根据指标的重要程度自主确定各项二、三级指标的权重分值，各项指标得分加总得出该项目绩效自评的总分（中央和省、市巡视、各级审计和财政监督中发现问题的酌情扣分），各项指标得分最高不能超过该指标分值上限，原则上一级指标分值统一设置为：预算执行率10分、部门管理指标20分、履职效果指标50分、能力建设指标10分、服务对象满意度指标10分，二、三级指标权重分值由各部门根据指标重要程度、项目实施阶段等因素综合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.部门整体支出绩效自评结果，应根据部门本级和所属单位整体支出自评情况分析汇总形成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60%-0%合理填写完成比例，汇总时以资金额度为权重，对分值加权平均计算。</w:t>
            </w:r>
          </w:p>
        </w:tc>
      </w:tr>
    </w:tbl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YzI1MWY4OTNiMjBlMmMyOTg1OTNkNjM4NTEwMTAifQ=="/>
  </w:docVars>
  <w:rsids>
    <w:rsidRoot w:val="04EA7886"/>
    <w:rsid w:val="04EA7886"/>
    <w:rsid w:val="300F536E"/>
    <w:rsid w:val="30DB6CFA"/>
    <w:rsid w:val="416C026F"/>
    <w:rsid w:val="52E946E1"/>
    <w:rsid w:val="685F3791"/>
    <w:rsid w:val="6F0C3A65"/>
    <w:rsid w:val="6F6D0E8A"/>
    <w:rsid w:val="7075449A"/>
    <w:rsid w:val="737E10E5"/>
    <w:rsid w:val="754E0E15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5">
    <w:name w:val="font1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1324</Characters>
  <Lines>0</Lines>
  <Paragraphs>0</Paragraphs>
  <TotalTime>8</TotalTime>
  <ScaleCrop>false</ScaleCrop>
  <LinksUpToDate>false</LinksUpToDate>
  <CharactersWithSpaces>1342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2023-09-14T01:26:00Z</dcterms:created>
  <dc:creator>䓁䓁*</dc:creator>
  <cp:lastModifiedBy>何凡060831</cp:lastModifiedBy>
  <dcterms:modified xsi:type="dcterms:W3CDTF">2023-09-15T10:36:14Z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E7D0184CA0D74D0584DC06D039723E33_13</vt:lpwstr>
  </property>
</Properties>
</file>