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sz w:val="32"/>
          <w:szCs w:val="32"/>
        </w:rPr>
      </w:pPr>
      <w:r>
        <w:rPr>
          <w:rFonts w:ascii="黑体" w:hAnsi="宋体" w:eastAsia="黑体" w:cs="黑体"/>
          <w:b/>
          <w:color w:val="000000"/>
          <w:kern w:val="0"/>
          <w:sz w:val="32"/>
          <w:szCs w:val="32"/>
          <w:lang w:val="en-US" w:eastAsia="zh-CN" w:bidi="ar"/>
        </w:rPr>
        <w:t>附件</w:t>
      </w:r>
      <w:r>
        <w:rPr>
          <w:rFonts w:hint="eastAsia" w:ascii="黑体" w:hAnsi="宋体" w:eastAsia="黑体" w:cs="黑体"/>
          <w:b/>
          <w:color w:val="000000"/>
          <w:kern w:val="0"/>
          <w:sz w:val="32"/>
          <w:szCs w:val="32"/>
          <w:lang w:val="en-US" w:eastAsia="zh-CN" w:bidi="ar"/>
        </w:rPr>
        <w:t>3：</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kern w:val="0"/>
          <w:sz w:val="36"/>
          <w:szCs w:val="3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pPr>
      <w:r>
        <w:rPr>
          <w:rFonts w:hint="eastAsia" w:ascii="方正小标宋简体" w:hAnsi="方正小标宋简体" w:eastAsia="方正小标宋简体" w:cs="方正小标宋简体"/>
          <w:color w:val="000000"/>
          <w:kern w:val="0"/>
          <w:sz w:val="36"/>
          <w:szCs w:val="36"/>
          <w:lang w:val="en-US" w:eastAsia="zh-CN" w:bidi="ar"/>
        </w:rPr>
        <w:t>县信访局关于信访工作专项经费项目绩效评价的报告</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ascii="仿宋" w:hAnsi="仿宋" w:eastAsia="仿宋" w:cs="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sz w:val="32"/>
          <w:szCs w:val="32"/>
        </w:rPr>
      </w:pPr>
      <w:r>
        <w:rPr>
          <w:rFonts w:ascii="仿宋" w:hAnsi="仿宋" w:eastAsia="仿宋" w:cs="仿宋"/>
          <w:color w:val="000000"/>
          <w:kern w:val="0"/>
          <w:sz w:val="32"/>
          <w:szCs w:val="32"/>
          <w:lang w:val="en-US" w:eastAsia="zh-CN" w:bidi="ar"/>
        </w:rPr>
        <w:t>为加强财政项目资金绩效管理，提高财政资金使用效益，根</w:t>
      </w:r>
      <w:r>
        <w:rPr>
          <w:rFonts w:hint="eastAsia" w:ascii="仿宋" w:hAnsi="仿宋" w:eastAsia="仿宋" w:cs="仿宋"/>
          <w:color w:val="000000"/>
          <w:kern w:val="0"/>
          <w:sz w:val="32"/>
          <w:szCs w:val="32"/>
          <w:lang w:val="en-US" w:eastAsia="zh-CN" w:bidi="ar"/>
        </w:rPr>
        <w:t xml:space="preserve">据《中华人民共和国预算法》《中共中央 国务院关于全面实施预算绩效管理的意见》和《关于人大预算审查监督重点向支出预算和政策拓展的指导意见》等相关文件规定，财政部预算评审中心组织第三方机构和专家成立绩效评价工作组，对张家川县信访局2019的信访工作专项经费的管理使用情况开展了绩效评价，现将有关情况报告如下：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一、项目基本情况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仿宋" w:hAnsi="仿宋" w:eastAsia="仿宋" w:cs="仿宋"/>
          <w:color w:val="000000"/>
          <w:kern w:val="0"/>
          <w:sz w:val="32"/>
          <w:szCs w:val="32"/>
          <w:lang w:val="en-US" w:eastAsia="zh-CN" w:bidi="ar"/>
        </w:rPr>
      </w:pPr>
      <w:r>
        <w:rPr>
          <w:rFonts w:ascii="楷体" w:hAnsi="楷体" w:eastAsia="楷体" w:cs="楷体"/>
          <w:b/>
          <w:color w:val="000000"/>
          <w:kern w:val="0"/>
          <w:sz w:val="32"/>
          <w:szCs w:val="32"/>
          <w:lang w:val="en-US" w:eastAsia="zh-CN" w:bidi="ar"/>
        </w:rPr>
        <w:t>（一）项目背景。</w:t>
      </w:r>
      <w:r>
        <w:rPr>
          <w:rFonts w:hint="eastAsia" w:ascii="仿宋" w:hAnsi="仿宋" w:eastAsia="仿宋" w:cs="仿宋"/>
          <w:color w:val="000000"/>
          <w:kern w:val="0"/>
          <w:sz w:val="32"/>
          <w:szCs w:val="32"/>
          <w:lang w:val="en-US" w:eastAsia="zh-CN" w:bidi="ar"/>
        </w:rPr>
        <w:t>申请信访工作专项经费的政策文件依据：</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1、《信访条例》</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2、甘肃省《信访条例》第十三条规定：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国家机关应当为信访工作机构提供必要的工作条件，设立或者指定相对独立的信</w:t>
      </w:r>
      <w:bookmarkStart w:id="0" w:name="_GoBack"/>
      <w:bookmarkEnd w:id="0"/>
      <w:r>
        <w:rPr>
          <w:rFonts w:hint="eastAsia" w:ascii="仿宋" w:hAnsi="仿宋" w:eastAsia="仿宋" w:cs="仿宋"/>
          <w:color w:val="000000"/>
          <w:kern w:val="0"/>
          <w:sz w:val="32"/>
          <w:szCs w:val="32"/>
          <w:lang w:val="en-US" w:eastAsia="zh-CN" w:bidi="ar"/>
        </w:rPr>
        <w:t>访接待场所，提供安全保障，配置相应的隔离、监控、防护、消毒、消防等设施。</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信访工作所需经费应当列入本级年度财政预算，保障其工作的开展。</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有计划地培训信访工作人员，提高其政治业务素质和工作水平。</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根据《中共甘肃省委、甘肃省人民政府关于用群众工作统揽信访工作的若干意见》（甘发〔2011〕6号）精神。</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楷体" w:hAnsi="楷体" w:eastAsia="楷体" w:cs="楷体"/>
          <w:b/>
          <w:color w:val="000000"/>
          <w:kern w:val="0"/>
          <w:sz w:val="32"/>
          <w:szCs w:val="32"/>
          <w:lang w:val="en-US" w:eastAsia="zh-CN" w:bidi="ar"/>
        </w:rPr>
      </w:pPr>
      <w:r>
        <w:rPr>
          <w:rFonts w:hint="eastAsia" w:ascii="楷体" w:hAnsi="楷体" w:eastAsia="楷体" w:cs="楷体"/>
          <w:b/>
          <w:color w:val="000000"/>
          <w:kern w:val="0"/>
          <w:sz w:val="32"/>
          <w:szCs w:val="32"/>
          <w:lang w:val="en-US" w:eastAsia="zh-CN" w:bidi="ar"/>
        </w:rPr>
        <w:t>项目目标。</w:t>
      </w:r>
      <w:r>
        <w:rPr>
          <w:rFonts w:hint="eastAsia" w:ascii="仿宋_GB2312" w:hAnsi="仿宋_GB2312" w:eastAsia="仿宋_GB2312" w:cs="仿宋_GB2312"/>
          <w:sz w:val="32"/>
          <w:szCs w:val="32"/>
          <w:lang w:val="en-US" w:eastAsia="zh-CN"/>
        </w:rPr>
        <w:t>推动解决事关民生的“无头案、钉子案、骨头案”，对当事人实施适度救助，</w:t>
      </w:r>
      <w:r>
        <w:rPr>
          <w:rFonts w:hint="eastAsia" w:ascii="仿宋_GB2312" w:eastAsia="仿宋_GB2312"/>
          <w:sz w:val="32"/>
          <w:szCs w:val="32"/>
        </w:rPr>
        <w:t>快捷高效地处理群众反映的特殊信访事项</w:t>
      </w:r>
      <w:r>
        <w:rPr>
          <w:rFonts w:hint="eastAsia" w:ascii="仿宋_GB2312" w:eastAsia="仿宋_GB2312"/>
          <w:sz w:val="32"/>
          <w:szCs w:val="32"/>
          <w:lang w:eastAsia="zh-CN"/>
        </w:rPr>
        <w:t>，</w:t>
      </w:r>
      <w:r>
        <w:rPr>
          <w:rFonts w:hint="eastAsia" w:ascii="仿宋_GB2312" w:hAnsi="仿宋_GB2312" w:eastAsia="仿宋_GB2312" w:cs="仿宋_GB2312"/>
          <w:sz w:val="32"/>
          <w:szCs w:val="32"/>
          <w:lang w:val="en-US" w:eastAsia="zh-CN"/>
        </w:rPr>
        <w:t>以达到息访息诉的目的，</w:t>
      </w:r>
      <w:r>
        <w:rPr>
          <w:rFonts w:hint="eastAsia" w:ascii="仿宋_GB2312" w:eastAsia="仿宋_GB2312"/>
          <w:sz w:val="32"/>
          <w:szCs w:val="32"/>
        </w:rPr>
        <w:t>促进社会和谐，维护社会稳定。</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76" w:lineRule="exact"/>
        <w:ind w:left="0" w:leftChars="0"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color w:val="000000"/>
          <w:kern w:val="0"/>
          <w:sz w:val="32"/>
          <w:szCs w:val="32"/>
          <w:lang w:val="en-US" w:eastAsia="zh-CN" w:bidi="ar"/>
        </w:rPr>
        <w:t>主要内容及预算支出情况。</w:t>
      </w:r>
      <w:r>
        <w:rPr>
          <w:rFonts w:hint="eastAsia" w:ascii="仿宋_GB2312" w:hAnsi="仿宋_GB2312" w:eastAsia="仿宋_GB2312" w:cs="仿宋_GB2312"/>
          <w:sz w:val="32"/>
          <w:szCs w:val="32"/>
          <w:lang w:val="en-US" w:eastAsia="zh-CN"/>
        </w:rPr>
        <w:t>资金使用范围为：难以划分和落实责任主体，长期积累、久拖未决的特殊疑难信访问题；诉求合理，但没有明确政策规定或客观条件不具备，一时难以解决的特殊疑难信访问题；跨地区、跨部门、跨行业和人事分离、人户分离、人事户分离等涉及多个责任主体的特殊疑难信访问题；诉求时间长，解决问题的客观依据缺失，但信访人生活确有</w:t>
      </w:r>
      <w:r>
        <w:rPr>
          <w:rFonts w:hint="eastAsia" w:ascii="仿宋_GB2312" w:eastAsia="仿宋_GB2312"/>
          <w:sz w:val="32"/>
          <w:szCs w:val="32"/>
          <w:lang w:val="en-US" w:eastAsia="zh-CN"/>
        </w:rPr>
        <w:t>实际困难</w:t>
      </w:r>
      <w:r>
        <w:rPr>
          <w:rFonts w:hint="eastAsia" w:ascii="仿宋_GB2312" w:hAnsi="仿宋_GB2312" w:eastAsia="仿宋_GB2312" w:cs="仿宋_GB2312"/>
          <w:sz w:val="32"/>
          <w:szCs w:val="32"/>
          <w:lang w:val="en-US" w:eastAsia="zh-CN"/>
        </w:rPr>
        <w:t>，且属于民政部门救济范围之外或救济措施难以落实的特殊疑难信访问题；确属按司法渠道难以解决的涉法涉诉特殊疑难信访问题等。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预算支出情况：</w:t>
      </w:r>
      <w:r>
        <w:rPr>
          <w:rFonts w:hint="eastAsia" w:ascii="仿宋_GB2312" w:eastAsia="仿宋_GB2312"/>
          <w:sz w:val="32"/>
          <w:szCs w:val="32"/>
        </w:rPr>
        <w:t>信访专项资金的管理和使用坚持“专款专用</w:t>
      </w:r>
      <w:r>
        <w:rPr>
          <w:rFonts w:hint="eastAsia" w:ascii="仿宋_GB2312" w:eastAsia="仿宋_GB2312"/>
          <w:sz w:val="32"/>
          <w:szCs w:val="32"/>
          <w:lang w:eastAsia="zh-CN"/>
        </w:rPr>
        <w:t>、</w:t>
      </w:r>
      <w:r>
        <w:rPr>
          <w:rFonts w:hint="eastAsia" w:ascii="仿宋_GB2312" w:eastAsia="仿宋_GB2312"/>
          <w:sz w:val="32"/>
          <w:szCs w:val="32"/>
        </w:rPr>
        <w:t>管用分离、谁用谁负责、确保息诉罢访”的原则，</w:t>
      </w:r>
      <w:r>
        <w:rPr>
          <w:rFonts w:hint="eastAsia" w:ascii="仿宋_GB2312" w:eastAsia="仿宋_GB2312"/>
          <w:sz w:val="32"/>
          <w:szCs w:val="32"/>
          <w:lang w:val="en-US" w:eastAsia="zh-CN"/>
        </w:rPr>
        <w:t>2019年度无结余资金，15</w:t>
      </w:r>
      <w:r>
        <w:rPr>
          <w:rFonts w:hint="eastAsia" w:ascii="仿宋_GB2312" w:eastAsia="仿宋_GB2312"/>
          <w:sz w:val="32"/>
          <w:szCs w:val="32"/>
        </w:rPr>
        <w:t>万元专项资金</w:t>
      </w:r>
      <w:r>
        <w:rPr>
          <w:rFonts w:hint="eastAsia" w:ascii="仿宋_GB2312" w:eastAsia="仿宋_GB2312"/>
          <w:sz w:val="32"/>
          <w:szCs w:val="32"/>
          <w:lang w:val="en-US" w:eastAsia="zh-CN"/>
        </w:rPr>
        <w:t>全部</w:t>
      </w:r>
      <w:r>
        <w:rPr>
          <w:rFonts w:hint="eastAsia" w:ascii="仿宋_GB2312" w:eastAsia="仿宋_GB2312"/>
          <w:sz w:val="32"/>
          <w:szCs w:val="32"/>
        </w:rPr>
        <w:t>用于解决信访工作中的疑难复杂信访问题</w:t>
      </w:r>
      <w:r>
        <w:rPr>
          <w:rFonts w:hint="eastAsia" w:ascii="仿宋_GB2312" w:eastAsia="仿宋_GB2312"/>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二、绩效评价工作情况及评价结论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b/>
          <w:color w:val="000000"/>
          <w:kern w:val="0"/>
          <w:sz w:val="32"/>
          <w:szCs w:val="32"/>
          <w:lang w:val="en-US" w:eastAsia="zh-CN" w:bidi="ar"/>
        </w:rPr>
        <w:t>（一） 评价范围和目的。</w:t>
      </w:r>
      <w:r>
        <w:rPr>
          <w:rFonts w:hint="eastAsia" w:ascii="仿宋" w:hAnsi="仿宋" w:eastAsia="仿宋" w:cs="仿宋"/>
          <w:color w:val="000000"/>
          <w:kern w:val="0"/>
          <w:sz w:val="32"/>
          <w:szCs w:val="32"/>
          <w:lang w:val="en-US" w:eastAsia="zh-CN" w:bidi="ar"/>
        </w:rPr>
        <w:t>本次绩效评价对象为信访工作专项经费，从项目立项依据、目标、组织实施、预算需求、执行效果等方面入手，对项目的实施情况和实施效果进行全面的分析和评价。通过开展绩效评价工作，对项目管理、完成情况进行</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sz w:val="32"/>
          <w:szCs w:val="32"/>
        </w:rPr>
      </w:pPr>
      <w:r>
        <w:rPr>
          <w:rFonts w:hint="eastAsia" w:ascii="仿宋" w:hAnsi="仿宋" w:eastAsia="仿宋" w:cs="仿宋"/>
          <w:color w:val="000000"/>
          <w:kern w:val="0"/>
          <w:sz w:val="32"/>
          <w:szCs w:val="32"/>
          <w:lang w:val="en-US" w:eastAsia="zh-CN" w:bidi="ar"/>
        </w:rPr>
        <w:t xml:space="preserve">全面了解，对县财政资金的执行情况和实施效果进行分析评价，总结经验及存在的问题，为县财政资金的安排提供决策依据。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sz w:val="32"/>
          <w:szCs w:val="32"/>
        </w:rPr>
      </w:pPr>
      <w:r>
        <w:rPr>
          <w:rFonts w:hint="eastAsia" w:ascii="楷体" w:hAnsi="楷体" w:eastAsia="楷体" w:cs="楷体"/>
          <w:b/>
          <w:color w:val="000000"/>
          <w:kern w:val="0"/>
          <w:sz w:val="32"/>
          <w:szCs w:val="32"/>
          <w:lang w:val="en-US" w:eastAsia="zh-CN" w:bidi="ar"/>
        </w:rPr>
        <w:t>（二）评价指标体系。</w:t>
      </w:r>
      <w:r>
        <w:rPr>
          <w:rFonts w:hint="eastAsia" w:ascii="仿宋" w:hAnsi="仿宋" w:eastAsia="仿宋" w:cs="仿宋"/>
          <w:color w:val="000000"/>
          <w:kern w:val="0"/>
          <w:sz w:val="32"/>
          <w:szCs w:val="32"/>
          <w:lang w:val="en-US" w:eastAsia="zh-CN" w:bidi="ar"/>
        </w:rPr>
        <w:t>主要包括决策、管理、产出、效果四个方面，满分为100分。</w:t>
      </w:r>
      <w:r>
        <w:rPr>
          <w:rFonts w:hint="eastAsia" w:ascii="仿宋" w:hAnsi="仿宋" w:eastAsia="仿宋" w:cs="仿宋"/>
          <w:b/>
          <w:color w:val="000000"/>
          <w:kern w:val="0"/>
          <w:sz w:val="32"/>
          <w:szCs w:val="32"/>
          <w:lang w:val="en-US" w:eastAsia="zh-CN" w:bidi="ar"/>
        </w:rPr>
        <w:t>一是决策（20分）。</w:t>
      </w:r>
      <w:r>
        <w:rPr>
          <w:rFonts w:hint="eastAsia" w:ascii="仿宋" w:hAnsi="仿宋" w:eastAsia="仿宋" w:cs="仿宋"/>
          <w:color w:val="000000"/>
          <w:kern w:val="0"/>
          <w:sz w:val="32"/>
          <w:szCs w:val="32"/>
          <w:lang w:val="en-US" w:eastAsia="zh-CN" w:bidi="ar"/>
        </w:rPr>
        <w:t xml:space="preserve">主要评价立项依据充分性、立项程序规范性、绩效目标的明确性、绩效指标的合理性、实施内容的明确性、实施方案的可行性、预算编制合理性等。 </w:t>
      </w:r>
      <w:r>
        <w:rPr>
          <w:rFonts w:hint="eastAsia" w:ascii="仿宋" w:hAnsi="仿宋" w:eastAsia="仿宋" w:cs="仿宋"/>
          <w:b/>
          <w:color w:val="000000"/>
          <w:kern w:val="0"/>
          <w:sz w:val="32"/>
          <w:szCs w:val="32"/>
          <w:lang w:val="en-US" w:eastAsia="zh-CN" w:bidi="ar"/>
        </w:rPr>
        <w:t>二是管理（25分）。</w:t>
      </w:r>
      <w:r>
        <w:rPr>
          <w:rFonts w:hint="eastAsia" w:ascii="仿宋" w:hAnsi="仿宋" w:eastAsia="仿宋" w:cs="仿宋"/>
          <w:color w:val="000000"/>
          <w:kern w:val="0"/>
          <w:sz w:val="32"/>
          <w:szCs w:val="32"/>
          <w:lang w:val="en-US" w:eastAsia="zh-CN" w:bidi="ar"/>
        </w:rPr>
        <w:t>主要评价组织管理健全性、管理制度健全性、制度执行有效性、项目监督执行有效性、资金管理制度的健全性和资金使用规范性等。</w:t>
      </w:r>
      <w:r>
        <w:rPr>
          <w:rFonts w:hint="eastAsia" w:ascii="仿宋" w:hAnsi="仿宋" w:eastAsia="仿宋" w:cs="仿宋"/>
          <w:b/>
          <w:color w:val="000000"/>
          <w:kern w:val="0"/>
          <w:sz w:val="32"/>
          <w:szCs w:val="32"/>
          <w:lang w:val="en-US" w:eastAsia="zh-CN" w:bidi="ar"/>
        </w:rPr>
        <w:t>三是产出（30分）。</w:t>
      </w:r>
      <w:r>
        <w:rPr>
          <w:rFonts w:hint="eastAsia" w:ascii="仿宋" w:hAnsi="仿宋" w:eastAsia="仿宋" w:cs="仿宋"/>
          <w:color w:val="000000"/>
          <w:kern w:val="0"/>
          <w:sz w:val="32"/>
          <w:szCs w:val="32"/>
          <w:lang w:val="en-US" w:eastAsia="zh-CN" w:bidi="ar"/>
        </w:rPr>
        <w:t>主要评价年度目标完成情况、总体规划完成情况、质量达标率和完成及时率等情况。</w:t>
      </w:r>
      <w:r>
        <w:rPr>
          <w:rFonts w:hint="eastAsia" w:ascii="仿宋" w:hAnsi="仿宋" w:eastAsia="仿宋" w:cs="仿宋"/>
          <w:b/>
          <w:color w:val="000000"/>
          <w:kern w:val="0"/>
          <w:sz w:val="32"/>
          <w:szCs w:val="32"/>
          <w:lang w:val="en-US" w:eastAsia="zh-CN" w:bidi="ar"/>
        </w:rPr>
        <w:t>四是效果（25分）。</w:t>
      </w:r>
      <w:r>
        <w:rPr>
          <w:rFonts w:hint="eastAsia" w:ascii="仿宋" w:hAnsi="仿宋" w:eastAsia="仿宋" w:cs="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sz w:val="32"/>
          <w:szCs w:val="32"/>
        </w:rPr>
      </w:pPr>
      <w:r>
        <w:rPr>
          <w:rFonts w:hint="eastAsia" w:ascii="楷体" w:hAnsi="楷体" w:eastAsia="楷体" w:cs="楷体"/>
          <w:b/>
          <w:color w:val="000000"/>
          <w:kern w:val="0"/>
          <w:sz w:val="32"/>
          <w:szCs w:val="32"/>
          <w:lang w:val="en-US" w:eastAsia="zh-CN" w:bidi="ar"/>
        </w:rPr>
        <w:t>（三）评价结论。</w:t>
      </w:r>
      <w:r>
        <w:rPr>
          <w:rFonts w:hint="eastAsia" w:ascii="仿宋" w:hAnsi="仿宋" w:eastAsia="仿宋" w:cs="仿宋"/>
          <w:color w:val="000000"/>
          <w:kern w:val="0"/>
          <w:sz w:val="32"/>
          <w:szCs w:val="32"/>
          <w:lang w:val="en-US" w:eastAsia="zh-CN" w:bidi="ar"/>
        </w:rPr>
        <w:t>该项目绩效评价得分为</w:t>
      </w:r>
      <w:r>
        <w:rPr>
          <w:rFonts w:hint="eastAsia" w:ascii="宋体" w:hAnsi="宋体" w:eastAsia="宋体" w:cs="宋体"/>
          <w:color w:val="000000"/>
          <w:kern w:val="0"/>
          <w:sz w:val="32"/>
          <w:szCs w:val="32"/>
          <w:lang w:val="en-US" w:eastAsia="zh-CN" w:bidi="ar"/>
        </w:rPr>
        <w:t>85</w:t>
      </w:r>
      <w:r>
        <w:rPr>
          <w:rFonts w:hint="eastAsia" w:ascii="仿宋" w:hAnsi="仿宋" w:eastAsia="仿宋" w:cs="仿宋"/>
          <w:color w:val="000000"/>
          <w:kern w:val="0"/>
          <w:sz w:val="32"/>
          <w:szCs w:val="32"/>
          <w:lang w:val="en-US" w:eastAsia="zh-CN" w:bidi="ar"/>
        </w:rPr>
        <w:t xml:space="preserve">分，综合评价等级为“良”。评价认为，实施内容存在项目管理不够规范问题。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三、绩效评价指标完成情况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sz w:val="32"/>
          <w:szCs w:val="32"/>
        </w:rPr>
      </w:pPr>
      <w:r>
        <w:rPr>
          <w:rFonts w:hint="eastAsia" w:ascii="楷体" w:hAnsi="楷体" w:eastAsia="楷体" w:cs="楷体"/>
          <w:b/>
          <w:color w:val="000000"/>
          <w:kern w:val="0"/>
          <w:sz w:val="32"/>
          <w:szCs w:val="32"/>
          <w:lang w:val="en-US" w:eastAsia="zh-CN" w:bidi="ar"/>
        </w:rPr>
        <w:t>（一）决策指标分析。</w:t>
      </w:r>
      <w:r>
        <w:rPr>
          <w:rFonts w:hint="eastAsia" w:ascii="仿宋" w:hAnsi="仿宋" w:eastAsia="仿宋" w:cs="仿宋"/>
          <w:color w:val="000000"/>
          <w:kern w:val="0"/>
          <w:sz w:val="32"/>
          <w:szCs w:val="32"/>
          <w:lang w:val="en-US" w:eastAsia="zh-CN" w:bidi="ar"/>
        </w:rPr>
        <w:t xml:space="preserve">该指标分值20分，评价得分16.5分。该项目立项符合国家相关政策立项程序规范，项目绩效目标明确；绩效指标较全面，但过于笼统且个别指标设置前后口径不一致；项目实施内容与年度计划基本匹配，但部分内容与其他项目交叉或重复，预算编制不够合理。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sz w:val="32"/>
          <w:szCs w:val="32"/>
        </w:rPr>
      </w:pPr>
      <w:r>
        <w:rPr>
          <w:rFonts w:hint="eastAsia" w:ascii="楷体" w:hAnsi="楷体" w:eastAsia="楷体" w:cs="楷体"/>
          <w:b/>
          <w:color w:val="000000"/>
          <w:kern w:val="0"/>
          <w:sz w:val="32"/>
          <w:szCs w:val="32"/>
          <w:lang w:val="en-US" w:eastAsia="zh-CN" w:bidi="ar"/>
        </w:rPr>
        <w:t>(二）管理指标分析。</w:t>
      </w:r>
      <w:r>
        <w:rPr>
          <w:rFonts w:hint="eastAsia" w:ascii="仿宋" w:hAnsi="仿宋" w:eastAsia="仿宋" w:cs="仿宋"/>
          <w:color w:val="000000"/>
          <w:kern w:val="0"/>
          <w:sz w:val="32"/>
          <w:szCs w:val="32"/>
          <w:lang w:val="en-US" w:eastAsia="zh-CN" w:bidi="ar"/>
        </w:rPr>
        <w:t>该指标分值25分，评价得分17.5分。该项目业务管理制度和资金管理制度基本健全；项目实施程序和流程基本符合相关法律法规、部门规章及故宫的相关制度，但评价发现结算管理、资料归档等方面存在不够规范的地方；预算执行率较好，但资金使用和项目核算方面不够规范，项目管理及监督执行机制有待进一步完善。</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sz w:val="32"/>
          <w:szCs w:val="32"/>
        </w:rPr>
      </w:pPr>
      <w:r>
        <w:rPr>
          <w:rFonts w:hint="eastAsia" w:ascii="楷体" w:hAnsi="楷体" w:eastAsia="楷体" w:cs="楷体"/>
          <w:b/>
          <w:color w:val="000000"/>
          <w:kern w:val="0"/>
          <w:sz w:val="32"/>
          <w:szCs w:val="32"/>
          <w:lang w:val="en-US" w:eastAsia="zh-CN" w:bidi="ar"/>
        </w:rPr>
        <w:t>（三）产出指标分析。</w:t>
      </w:r>
      <w:r>
        <w:rPr>
          <w:rFonts w:hint="eastAsia" w:ascii="仿宋" w:hAnsi="仿宋" w:eastAsia="仿宋" w:cs="仿宋"/>
          <w:color w:val="000000"/>
          <w:kern w:val="0"/>
          <w:sz w:val="32"/>
          <w:szCs w:val="32"/>
          <w:lang w:val="en-US" w:eastAsia="zh-CN" w:bidi="ar"/>
        </w:rPr>
        <w:t>该指标分值30分，评价得分28分。项目年度目标完成情况较好。</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sz w:val="32"/>
          <w:szCs w:val="32"/>
        </w:rPr>
      </w:pPr>
      <w:r>
        <w:rPr>
          <w:rFonts w:hint="eastAsia" w:ascii="楷体" w:hAnsi="楷体" w:eastAsia="楷体" w:cs="楷体"/>
          <w:b/>
          <w:color w:val="000000"/>
          <w:kern w:val="0"/>
          <w:sz w:val="32"/>
          <w:szCs w:val="32"/>
          <w:lang w:val="en-US" w:eastAsia="zh-CN" w:bidi="ar"/>
        </w:rPr>
        <w:t>（四）效果指标分析。</w:t>
      </w:r>
      <w:r>
        <w:rPr>
          <w:rFonts w:hint="eastAsia" w:ascii="仿宋" w:hAnsi="仿宋" w:eastAsia="仿宋" w:cs="仿宋"/>
          <w:color w:val="000000"/>
          <w:kern w:val="0"/>
          <w:sz w:val="32"/>
          <w:szCs w:val="32"/>
          <w:lang w:val="en-US" w:eastAsia="zh-CN" w:bidi="ar"/>
        </w:rPr>
        <w:t xml:space="preserve">该指标分值25分，评价得分23分。项目实施内容和重点发生偏离，规划和制度缺乏长期指导性。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四、发现的主要问题及原因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sz w:val="32"/>
          <w:szCs w:val="32"/>
        </w:rPr>
      </w:pPr>
      <w:r>
        <w:rPr>
          <w:rFonts w:hint="eastAsia" w:ascii="楷体" w:hAnsi="楷体" w:eastAsia="楷体" w:cs="楷体"/>
          <w:b/>
          <w:color w:val="000000"/>
          <w:kern w:val="0"/>
          <w:sz w:val="32"/>
          <w:szCs w:val="32"/>
          <w:lang w:val="en-US" w:eastAsia="zh-CN" w:bidi="ar"/>
        </w:rPr>
        <w:t>项目实施管理不够规范，缺少有效的监督考核机制和措施。</w:t>
      </w:r>
      <w:r>
        <w:rPr>
          <w:rFonts w:hint="eastAsia" w:ascii="仿宋" w:hAnsi="仿宋" w:eastAsia="仿宋" w:cs="仿宋"/>
          <w:color w:val="000000"/>
          <w:kern w:val="0"/>
          <w:sz w:val="32"/>
          <w:szCs w:val="32"/>
          <w:lang w:val="en-US" w:eastAsia="zh-CN" w:bidi="ar"/>
        </w:rPr>
        <w:t xml:space="preserve">一是项目绩效指标设置不够合理。指标设置前后口径 不一致，不利于对指标完成情况的纵向对比。二是项目预算编制不规范、依据不充分。三是在项目组织管理健全性、制度建设及执行有效性、资金管理及使用等方面均存在不完善、不规范情况。四是缺少有效的监督考核机制和措施,导致一些不规范的情况发生。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楷体" w:hAnsi="楷体" w:eastAsia="楷体" w:cs="楷体"/>
          <w:b/>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五、相关建议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sz w:val="32"/>
          <w:szCs w:val="32"/>
        </w:rPr>
      </w:pPr>
      <w:r>
        <w:rPr>
          <w:rFonts w:hint="eastAsia" w:ascii="楷体" w:hAnsi="楷体" w:eastAsia="楷体" w:cs="楷体"/>
          <w:b/>
          <w:color w:val="000000"/>
          <w:kern w:val="0"/>
          <w:sz w:val="32"/>
          <w:szCs w:val="32"/>
          <w:lang w:val="en-US" w:eastAsia="zh-CN" w:bidi="ar"/>
        </w:rPr>
        <w:t>进一步加强和规范项目管理。</w:t>
      </w:r>
      <w:r>
        <w:rPr>
          <w:rFonts w:hint="eastAsia" w:ascii="仿宋" w:hAnsi="仿宋" w:eastAsia="仿宋" w:cs="仿宋"/>
          <w:color w:val="000000"/>
          <w:kern w:val="0"/>
          <w:sz w:val="32"/>
          <w:szCs w:val="32"/>
          <w:lang w:val="en-US" w:eastAsia="zh-CN" w:bidi="ar"/>
        </w:rPr>
        <w:t xml:space="preserve">健全和完善相关管理制度，建立有效的监督考核机制，为规范项目管理和资金使用保驾护航。同时，严格执行相关建设程序和管理制度，规范项目各环节管理和实施。 </w:t>
      </w: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2582545</wp:posOffset>
              </wp:positionH>
              <wp:positionV relativeFrom="paragraph">
                <wp:posOffset>-236855</wp:posOffset>
              </wp:positionV>
              <wp:extent cx="1828800" cy="4737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473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3.35pt;margin-top:-18.65pt;height:37.3pt;width:144pt;mso-position-horizontal-relative:margin;mso-wrap-style:none;z-index:251659264;mso-width-relative:page;mso-height-relative:page;" filled="f" stroked="f" coordsize="21600,21600" o:gfxdata="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Q8/rNkAAAAKAQAADwAAAAAAAAABACAAAAAiAAAAZHJzL2Rvd25yZXYu&#10;eG1sUEsBAhQAFAAAAAgAh07iQAyJiDozAgAAYAQAAA4AAAAAAAAAAQAgAAAAKAEAAGRycy9lMm9E&#10;b2MueG1sUEsFBgAAAAAGAAYAWQEAAM0FAAAAAA==&#10;">
              <v:fill on="f" focussize="0,0"/>
              <v:stroke on="f" weight="0.5pt"/>
              <v:imagedata o:title=""/>
              <o:lock v:ext="edit" aspectratio="f"/>
              <v:textbox inset="0mm,0mm,0mm,0mm">
                <w:txbxContent>
                  <w:p>
                    <w:pPr>
                      <w:pStyle w:val="2"/>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7F634"/>
    <w:multiLevelType w:val="singleLevel"/>
    <w:tmpl w:val="00D7F634"/>
    <w:lvl w:ilvl="0" w:tentative="0">
      <w:start w:val="2"/>
      <w:numFmt w:val="chineseCounting"/>
      <w:suff w:val="nothing"/>
      <w:lvlText w:val="（%1）"/>
      <w:lvlJc w:val="left"/>
      <w:rPr>
        <w:rFonts w:hint="eastAsia"/>
      </w:rPr>
    </w:lvl>
  </w:abstractNum>
  <w:abstractNum w:abstractNumId="1">
    <w:nsid w:val="3A0C6DBD"/>
    <w:multiLevelType w:val="singleLevel"/>
    <w:tmpl w:val="3A0C6DBD"/>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1C6445D8"/>
    <w:rsid w:val="07971371"/>
    <w:rsid w:val="08F932CB"/>
    <w:rsid w:val="135A439C"/>
    <w:rsid w:val="19C40F83"/>
    <w:rsid w:val="19DE23E4"/>
    <w:rsid w:val="1C6445D8"/>
    <w:rsid w:val="1E5770E6"/>
    <w:rsid w:val="21187EE3"/>
    <w:rsid w:val="211E7D99"/>
    <w:rsid w:val="25D67AED"/>
    <w:rsid w:val="271A1F5B"/>
    <w:rsid w:val="27A92EA8"/>
    <w:rsid w:val="286419D6"/>
    <w:rsid w:val="29D75149"/>
    <w:rsid w:val="37217FA4"/>
    <w:rsid w:val="395218CD"/>
    <w:rsid w:val="3BC65B2B"/>
    <w:rsid w:val="4095276C"/>
    <w:rsid w:val="40BC0C90"/>
    <w:rsid w:val="41613282"/>
    <w:rsid w:val="44BF3586"/>
    <w:rsid w:val="51811F9F"/>
    <w:rsid w:val="56916337"/>
    <w:rsid w:val="5B3A6EAF"/>
    <w:rsid w:val="5C3435DC"/>
    <w:rsid w:val="5DF20F14"/>
    <w:rsid w:val="61EA164F"/>
    <w:rsid w:val="677C5B6D"/>
    <w:rsid w:val="6AFE3E24"/>
    <w:rsid w:val="6B3D06E1"/>
    <w:rsid w:val="6EA56C18"/>
    <w:rsid w:val="70C20053"/>
    <w:rsid w:val="71BD019B"/>
    <w:rsid w:val="74C478D9"/>
    <w:rsid w:val="78552989"/>
    <w:rsid w:val="7AAB5450"/>
    <w:rsid w:val="7EC834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2019-09-10T02:13:00Z</dcterms:created>
  <dc:creator>财政局张锦宇</dc:creator>
  <cp:lastModifiedBy>熊出没</cp:lastModifiedBy>
  <cp:lastPrinted>2019-09-10T03:22:00Z</cp:lastPrinted>
  <dcterms:modified xsi:type="dcterms:W3CDTF">2023-11-14T03:15:48Z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B3FE7BCAD2D14E0CB1C75F4BDC7D7A80</vt:lpwstr>
  </property>
</Properties>
</file>