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2023年度连五乡部门整体支出绩效      自评报告</w:t>
      </w:r>
    </w:p>
    <w:p>
      <w:pPr>
        <w:jc w:val="both"/>
        <w:rPr>
          <w:rFonts w:hint="eastAsia" w:ascii="黑体" w:hAnsi="黑体" w:eastAsia="黑体" w:cs="黑体"/>
          <w:sz w:val="30"/>
          <w:szCs w:val="30"/>
          <w:lang w:val="en-US" w:eastAsia="zh-CN"/>
        </w:rPr>
      </w:pPr>
    </w:p>
    <w:p>
      <w:pPr>
        <w:numPr>
          <w:ilvl w:val="0"/>
          <w:numId w:val="1"/>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部门（单位）概况</w:t>
      </w:r>
    </w:p>
    <w:p>
      <w:pPr>
        <w:numPr>
          <w:ilvl w:val="0"/>
          <w:numId w:val="2"/>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机构组成</w:t>
      </w:r>
    </w:p>
    <w:p>
      <w:pPr>
        <w:numPr>
          <w:ilvl w:val="0"/>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2"/>
          <w:szCs w:val="32"/>
          <w:lang w:val="en-US" w:eastAsia="zh-CN"/>
        </w:rPr>
        <w:t xml:space="preserve">   连五乡党委、政府下设5个内设机构：党政综合办公室、党建工作办公室、经济发展和社会事务办公室（挂卫生健康办公室牌子）、社会治理和应急管理办公室、生态环境办公室。 乡人大办公室、乡纪委（监察室）、人民武装部、总工会、共青团、妇联等按有关规定或章程设置，接受乡党委的领导。 事业单位 下设5个公益一类事业单位：政务（便民）服务中心（挂退役军人服务站牌子）、公共事务服务中心（挂综合文化站牌子）、农业农村综合服务中心（挂农产品质量检测服务中心、农村公路管理所牌子）、社会治安综合治理中心、综合行政执法队。</w:t>
      </w:r>
    </w:p>
    <w:p>
      <w:pPr>
        <w:numPr>
          <w:ilvl w:val="0"/>
          <w:numId w:val="2"/>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机构职能</w:t>
      </w:r>
    </w:p>
    <w:p>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政综合办公室。负责党委、政府机关日常事务办理和综合协调等工作;负责意识形态、思想宣传、统一战线、机构编制、民族宗教、精神文明建设等工作;负责统筹推进权责清单制度建设工作;负责公文起草审核、文电收发、保密、机要、政务公开、档案资产管理、督查考核、人事劳资、机关后勤等工作;负责人大建议、政协提案办理和政协委员联络等工作。</w:t>
      </w:r>
    </w:p>
    <w:p>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建工作办公室。负责基层党的政治建设、思想建设、组织建设、作风建设和制度建设等工作;负责党员干部监督管理、教育培训、考核考评和人才队伍建设等工作;负责党代会代表联络、离退休党员服务保障等相关工作;负责指导辖区内小微企业、社会组织及新领域、新业态、新群体党建工作;负责协调指导工会、团委、妇联等群团开展有关工作。</w:t>
      </w:r>
    </w:p>
    <w:p>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济发展和社会事务办公室(挂卫生健康办公室牌子)。负责制订实施国民经济和社会发展规划等工作;负责工信、科技、金融、审计、统计等工作;负责商贸物流、电子商务等工作;负责乡村振兴战略具体实施，各类涉农资金监管、产业发展规划、招商引资、乡村规划、新型城乡化建设等工作;负责社会保障、社会救助、卫生健康、医疗保障、住房保障、公共就业、劳动保障、教育、计划生育、民政事务、农村社区管理等工作。</w:t>
      </w:r>
    </w:p>
    <w:p>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业农村综合服务中心(挂农产品质量检测服务中心、农村公路管理所牌子)。负责农林水牧渔等方面的技术引进、推广、服务和应用等工作;负责农业合作经济组织建设发展、产业开发、农村经营等工作;负责农业机械化技术推广等工作;负责各类技术人才和职业农民的教育、培训、业务指导等工作;负责各类农业灾害防治、农作物病虫害监测防治、动植物疫病防控防治等工作;负责农产品质量检验检测等工作;负责农村公路管护等工作。</w:t>
      </w:r>
    </w:p>
    <w:p>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务(便民)服务中心(挂退役军人服务站牌子)。负责各项政务服务事项受理办理等工作;负责12345政务服务热线转办受理工作;负责指导村社便民服务站和网上服务站点建设管理工作;负责修订完善公共服务事项目录清单、办事指南和工作规程等工作;负责推行“-站式”服务和“最多跑一次改革”各项工作;负责社会救助、社会保障、医疗保险、养老保险、社会保险、计生、卫生、老龄、婚姻、不动产登记等便民服务工作;负责退役军人来信来访、权益维护、拥军优抚、信息采集等工作。</w:t>
      </w:r>
    </w:p>
    <w:p>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治安综合治理中心。负责社会治安防控体系建设、平安创建活动等工作;负责基本网格单元划分，统筹网格内党的建设、社会保障、综合治理、应急管理、社会救助等多网合一工作;负责整合党的建设、综合治理、村社治理、数字城管等各系统指挥信息资源，做好一体化的信息系统和综合指挥平台的建设、管理维护、技术服务、信息监测监控等工作。</w:t>
      </w:r>
    </w:p>
    <w:p>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事务服务中心(挂综合文化站牌子)。负责乡村建设、园林绿化、卫生清理、防污减排、危旧房改造、改水改厕、基础设施建设等工作;负责各类项目建设服务保障等工作;负责水、电、气、暖、通讯、道路交通及其他公共事务的服务协调保障工作;负责乡村公共文化体系建设和乡村文明等工作;负责乡村旅游的规划指导、宣传建设、开发利用等工作;负责古村古乡、建筑群、遗迹及各类文物的普查保护，以及非物质文化遗产的保护、普及、传承、开发等工作;负责承担各级各类文化体育活动、文艺演出的组织开展、协调配合、服务保障等工作;负责广播电视资源普查挖掘、保护利用及应急广播体系建设等工作;负责文化体育活动场馆等文化平台的建设管理和维护保障等工作。</w:t>
      </w:r>
    </w:p>
    <w:p>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综合行政执法队。根据张家川县人民政府赋予乡乡的部分县级经济社会管理权限，按照有关法律规定相对集中行使行政处罚权;负责权限外执法事项的日常巡查、接受投诉举报和协助调查取证等工作。</w:t>
      </w:r>
    </w:p>
    <w:p>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连五乡工会、妇联和共青团等群众团体机构，按照有关法规和章程设置，履行相应职能。连五乡人大办公室、监察室、人民武装部、财政所、扶贫工作站等机构按有关规定设置，履行相关职责，接受乡党委的领导。</w:t>
      </w:r>
    </w:p>
    <w:p>
      <w:pPr>
        <w:numPr>
          <w:ilvl w:val="0"/>
          <w:numId w:val="2"/>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人员概况</w:t>
      </w:r>
    </w:p>
    <w:p>
      <w:pPr>
        <w:numPr>
          <w:ilvl w:val="0"/>
          <w:numId w:val="4"/>
        </w:numPr>
        <w:tabs>
          <w:tab w:val="left" w:pos="0"/>
          <w:tab w:val="clear" w:pos="312"/>
        </w:tabs>
        <w:ind w:firstLine="64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2"/>
          <w:szCs w:val="32"/>
          <w:lang w:val="en-US" w:eastAsia="zh-CN"/>
        </w:rPr>
        <w:t>连五乡核定机关行政编制19名。连五乡党政内设机构均为股级。连五乡核定全额拨款事业编制共32名。连五乡事业单位类别均为公益一类，综合行政执法队机构规格为正科级建制，其他事业单位机构规格为副科级建制。</w:t>
      </w:r>
    </w:p>
    <w:p>
      <w:pPr>
        <w:numPr>
          <w:ilvl w:val="0"/>
          <w:numId w:val="1"/>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部门财政资金收支情况</w:t>
      </w:r>
    </w:p>
    <w:p>
      <w:pPr>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（一）部门财政资金收入情况</w:t>
      </w:r>
    </w:p>
    <w:p>
      <w:pPr>
        <w:numPr>
          <w:ilvl w:val="0"/>
          <w:numId w:val="0"/>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2023年部门决算财政拨款收入1165.05万元，其中一般公共预算财政拨款收入1156.39万元。</w:t>
      </w:r>
    </w:p>
    <w:p>
      <w:pPr>
        <w:numPr>
          <w:ilvl w:val="0"/>
          <w:numId w:val="5"/>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部门财政资金支出情况</w:t>
      </w:r>
    </w:p>
    <w:p>
      <w:pPr>
        <w:numPr>
          <w:ilvl w:val="0"/>
          <w:numId w:val="0"/>
        </w:numPr>
        <w:jc w:val="both"/>
        <w:rPr>
          <w:rFonts w:hint="default"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 xml:space="preserve">   2023年部门决算支出1165.05万元，年末结转0万元，其中基本支出863.93万元，项目支出301.12万元；按支出功能分类：一般公共服务支出690.47万元，文化旅游体育与传媒支出27.70万元，社会保障和就业支出71.63万元，卫生健康支出29.83万元，节能环保支出28万元，城乡社区支出30.49万元，农林水支出204.66万元，自然资源海洋气象等支出10万元，住房保障支出58.27万元，灾害防治及应急管理支出14万元。</w:t>
      </w:r>
    </w:p>
    <w:p>
      <w:pPr>
        <w:numPr>
          <w:ilvl w:val="0"/>
          <w:numId w:val="1"/>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部门整体预算绩效管理情况</w:t>
      </w:r>
    </w:p>
    <w:p>
      <w:pPr>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（一）部门预算管理</w:t>
      </w:r>
    </w:p>
    <w:p>
      <w:pPr>
        <w:numPr>
          <w:ilvl w:val="0"/>
          <w:numId w:val="0"/>
        </w:numPr>
        <w:ind w:left="19" w:leftChars="9" w:firstLine="620" w:firstLineChars="194"/>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乡按照财政预算编制规定和要求，结合单位年度工作计划采取人员经费按照县委组织部审核过的工资进行编制，公用经费按定额编制的方法按时完成人员经费、日常公用经费编制工作,切实做到数据完整和准确无误。对项目资金的预算，提出具体的项目、目标和实施计划，精准编制项目支出绩效申报表，提供准确的项目支撑依据，切实做到项目资金编制的合理化、人性化,并在规定的时限内完整、准确的报送到县级财政部门。预算资金保障了人员经费支出和单位正常运转需要，保证了单位全年工作任务的完成。</w:t>
      </w:r>
    </w:p>
    <w:p>
      <w:pPr>
        <w:numPr>
          <w:ilvl w:val="0"/>
          <w:numId w:val="0"/>
        </w:numPr>
        <w:ind w:left="19" w:leftChars="9" w:firstLine="620" w:firstLineChars="194"/>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在资金的支出执行上严格按照预算执行，坚持“反对浪费、节约开支”的原则，专款专用，不拖欠、不挪用。在收到财政对口股室下达的各类指标后，按照资金的用途，在把好审核关的基础上，按时按量按照资金预算进度及时拨付各项款项。人员经费、日常公用是按要求和规定给予支付，保障机关正常运转，完成日常工作任务,有效推动全县经济、社会发展。特别是在“三公”经费方面加强管理，不该报销的一律不给报销，严格把支出控制在年初的预算指标内，严格按照</w:t>
      </w:r>
      <w:bookmarkStart w:id="0" w:name="_GoBack"/>
      <w:bookmarkEnd w:id="0"/>
      <w:r>
        <w:rPr>
          <w:rFonts w:hint="eastAsia" w:ascii="仿宋_GB2312" w:hAnsi="仿宋_GB2312" w:eastAsia="仿宋_GB2312" w:cs="仿宋_GB2312"/>
          <w:sz w:val="32"/>
          <w:szCs w:val="32"/>
          <w:lang w:val="en-US" w:eastAsia="zh-CN"/>
        </w:rPr>
        <w:t xml:space="preserve">中央八项规定、省、市“十项规定”和财务相关规定执行财政资金的管理和使用。项目资金分配严格按照实际工作需要，依据项目进度和开展情况、合理安全、资金严格按照规范程序申请、管理和使用。通过项目实施充分保障了工作需求，切实发挥工作职能，维护全乡经济、社会发展。 </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结果运用情况</w:t>
      </w:r>
    </w:p>
    <w:p>
      <w:pPr>
        <w:numPr>
          <w:ilvl w:val="0"/>
          <w:numId w:val="6"/>
        </w:numPr>
        <w:jc w:val="both"/>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结果应用情况</w:t>
      </w:r>
    </w:p>
    <w:p>
      <w:pPr>
        <w:numPr>
          <w:ilvl w:val="0"/>
          <w:numId w:val="6"/>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1.年初部门预算绩效目标完成情况</w:t>
      </w:r>
    </w:p>
    <w:p>
      <w:pPr>
        <w:numPr>
          <w:ilvl w:val="0"/>
          <w:numId w:val="6"/>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产出指标完成情况分析。我乡严格遵守各项财经纪律，加强单位财务管理，制定了相关规章制度，加强和细化了预算编制，严格按照预算执行，确保财务收支平衡。按照全年进度保证机关正常工作需要的人员经费和公用经费,保障机关正常运转，完成日常工作任务，有效推动工作的顺利开展。</w:t>
      </w:r>
    </w:p>
    <w:p>
      <w:pPr>
        <w:numPr>
          <w:ilvl w:val="0"/>
          <w:numId w:val="6"/>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(2)效益指标完成情况分析。我乡主要安排用于一般公共服务支出、社会保障和就业支出、卫生健康支出、节能环保支出、城乡社区支出、农林水支出、自然资源海洋气象等支出、灾害防治及应急管理支出等。</w:t>
      </w:r>
    </w:p>
    <w:p>
      <w:pPr>
        <w:numPr>
          <w:ilvl w:val="0"/>
          <w:numId w:val="6"/>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(3)满意度指标完成情况分析。通过财政绩效目标管理，基本达到满意。</w:t>
      </w:r>
    </w:p>
    <w:p>
      <w:pPr>
        <w:numPr>
          <w:ilvl w:val="0"/>
          <w:numId w:val="6"/>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2.项目资金绩效目标完成情况</w:t>
      </w:r>
    </w:p>
    <w:p>
      <w:pPr>
        <w:numPr>
          <w:ilvl w:val="0"/>
          <w:numId w:val="6"/>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产出指标完成情况分析。对项目资金的预算，提出具体的项目、目标和实施计划，精准编制项目支出绩效申报表，提供准确的项目支撑依据，切实做到项目资金编制的合理化、人性化，并在规定的时限内完整、准确的报送到县级财政部门。</w:t>
      </w:r>
    </w:p>
    <w:p>
      <w:pPr>
        <w:numPr>
          <w:ilvl w:val="0"/>
          <w:numId w:val="6"/>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在项目资金的支出执行上严格按照预算执行，坚持“反对浪费、节约开支”的原则，专款专用，不拖欠、不挪用。在收到财政对口股室下达的各类指标后，按照资金的用途，在把好审核关的基础上，按时按量按照资金预算进度及时拨付各项款项。项目资金分配严格按照实际工作需要，依据项目进度和开展情况、合理安全、资金严格按照规范程序申请、管理和使用。</w:t>
      </w:r>
    </w:p>
    <w:p>
      <w:pPr>
        <w:numPr>
          <w:ilvl w:val="0"/>
          <w:numId w:val="1"/>
        </w:numPr>
        <w:ind w:left="0" w:leftChars="0" w:firstLine="0" w:firstLineChars="0"/>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评价结论及建议</w:t>
      </w:r>
    </w:p>
    <w:p>
      <w:pPr>
        <w:numPr>
          <w:ilvl w:val="0"/>
          <w:numId w:val="7"/>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评价结论</w:t>
      </w:r>
    </w:p>
    <w:p>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根据部门整体支出绩效评价指标体系自评表检查情况，综合得分98分（总分为100分），总体考核等次确定为“优秀”。</w:t>
      </w:r>
    </w:p>
    <w:p>
      <w:pPr>
        <w:numPr>
          <w:ilvl w:val="0"/>
          <w:numId w:val="7"/>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存在问题</w:t>
      </w:r>
    </w:p>
    <w:p>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1.管理制度不完善，无绩效管理相关制度。</w:t>
      </w:r>
    </w:p>
    <w:p>
      <w:pPr>
        <w:numPr>
          <w:ilvl w:val="0"/>
          <w:numId w:val="0"/>
        </w:numPr>
        <w:ind w:firstLine="640" w:firstLineChars="200"/>
        <w:jc w:val="both"/>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2.绩效评价工作未能全面开展宣传培训。自评覆盖率低，绩效评价质量不高。</w:t>
      </w:r>
    </w:p>
    <w:p>
      <w:pPr>
        <w:numPr>
          <w:ilvl w:val="0"/>
          <w:numId w:val="7"/>
        </w:numPr>
        <w:ind w:left="0" w:leftChars="0" w:firstLine="0" w:firstLineChars="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改进建议</w:t>
      </w:r>
    </w:p>
    <w:p>
      <w:pPr>
        <w:numPr>
          <w:ilvl w:val="0"/>
          <w:numId w:val="0"/>
        </w:numPr>
        <w:ind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1.完善绩效管理制度，全面公开较小信息，接受社会公众监督。</w:t>
      </w:r>
    </w:p>
    <w:p>
      <w:pPr>
        <w:numPr>
          <w:ilvl w:val="0"/>
          <w:numId w:val="0"/>
        </w:numPr>
        <w:ind w:firstLine="640" w:firstLineChars="200"/>
        <w:jc w:val="both"/>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2.加强评价结果应用。对绩效好的政策和项目原则上优先保障，对绩效一般的政策和项目要督促改进。</w:t>
      </w:r>
    </w:p>
    <w:p>
      <w:pPr>
        <w:numPr>
          <w:ilvl w:val="0"/>
          <w:numId w:val="0"/>
        </w:numPr>
        <w:jc w:val="both"/>
        <w:rPr>
          <w:rFonts w:hint="eastAsia" w:ascii="仿宋_GB2312" w:hAnsi="仿宋_GB2312" w:eastAsia="仿宋_GB2312" w:cs="仿宋_GB2312"/>
          <w:sz w:val="32"/>
          <w:szCs w:val="32"/>
          <w:lang w:val="en-US" w:eastAsia="zh-CN"/>
        </w:rPr>
      </w:pPr>
    </w:p>
    <w:p>
      <w:pPr>
        <w:numPr>
          <w:ilvl w:val="0"/>
          <w:numId w:val="0"/>
        </w:numPr>
        <w:jc w:val="both"/>
        <w:rPr>
          <w:rFonts w:hint="eastAsia" w:ascii="黑体" w:hAnsi="黑体" w:eastAsia="黑体" w:cs="黑体"/>
          <w:sz w:val="30"/>
          <w:szCs w:val="30"/>
          <w:lang w:val="en-US" w:eastAsia="zh-CN"/>
        </w:rPr>
      </w:pPr>
    </w:p>
    <w:p>
      <w:pPr>
        <w:numPr>
          <w:ilvl w:val="0"/>
          <w:numId w:val="0"/>
        </w:numPr>
        <w:jc w:val="both"/>
        <w:rPr>
          <w:rFonts w:hint="eastAsia" w:ascii="仿宋_GB2312" w:hAnsi="仿宋_GB2312" w:eastAsia="仿宋_GB2312" w:cs="仿宋_GB2312"/>
          <w:sz w:val="32"/>
          <w:szCs w:val="32"/>
          <w:lang w:val="en-US" w:eastAsia="zh-CN"/>
        </w:rPr>
      </w:pPr>
    </w:p>
    <w:p>
      <w:pPr>
        <w:numPr>
          <w:ilvl w:val="0"/>
          <w:numId w:val="0"/>
        </w:numPr>
        <w:jc w:val="both"/>
        <w:rPr>
          <w:rFonts w:hint="eastAsia" w:ascii="仿宋_GB2312" w:hAnsi="仿宋_GB2312" w:eastAsia="仿宋_GB2312" w:cs="仿宋_GB2312"/>
          <w:sz w:val="32"/>
          <w:szCs w:val="32"/>
          <w:lang w:val="en-US" w:eastAsia="zh-CN"/>
        </w:rPr>
      </w:pPr>
    </w:p>
    <w:p>
      <w:pPr>
        <w:numPr>
          <w:ilvl w:val="0"/>
          <w:numId w:val="0"/>
        </w:numPr>
        <w:jc w:val="both"/>
        <w:rPr>
          <w:rFonts w:hint="eastAsia" w:ascii="黑体" w:hAnsi="黑体" w:eastAsia="黑体" w:cs="黑体"/>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8C68D"/>
    <w:multiLevelType w:val="singleLevel"/>
    <w:tmpl w:val="B3F8C68D"/>
    <w:lvl w:ilvl="0" w:tentative="0">
      <w:start w:val="1"/>
      <w:numFmt w:val="chineseCounting"/>
      <w:suff w:val="nothing"/>
      <w:lvlText w:val="%1、"/>
      <w:lvlJc w:val="left"/>
      <w:rPr>
        <w:rFonts w:hint="eastAsia"/>
      </w:rPr>
    </w:lvl>
  </w:abstractNum>
  <w:abstractNum w:abstractNumId="1">
    <w:nsid w:val="B9445DB3"/>
    <w:multiLevelType w:val="singleLevel"/>
    <w:tmpl w:val="B9445DB3"/>
    <w:lvl w:ilvl="0" w:tentative="0">
      <w:start w:val="2"/>
      <w:numFmt w:val="chineseCounting"/>
      <w:suff w:val="nothing"/>
      <w:lvlText w:val="（%1）"/>
      <w:lvlJc w:val="left"/>
      <w:rPr>
        <w:rFonts w:hint="eastAsia"/>
      </w:rPr>
    </w:lvl>
  </w:abstractNum>
  <w:abstractNum w:abstractNumId="2">
    <w:nsid w:val="D24DBE41"/>
    <w:multiLevelType w:val="singleLevel"/>
    <w:tmpl w:val="D24DBE41"/>
    <w:lvl w:ilvl="0" w:tentative="0">
      <w:start w:val="1"/>
      <w:numFmt w:val="chineseCounting"/>
      <w:suff w:val="nothing"/>
      <w:lvlText w:val="（%1）"/>
      <w:lvlJc w:val="left"/>
      <w:rPr>
        <w:rFonts w:hint="eastAsia"/>
      </w:rPr>
    </w:lvl>
  </w:abstractNum>
  <w:abstractNum w:abstractNumId="3">
    <w:nsid w:val="DE4ECD6B"/>
    <w:multiLevelType w:val="singleLevel"/>
    <w:tmpl w:val="DE4ECD6B"/>
    <w:lvl w:ilvl="0" w:tentative="0">
      <w:start w:val="1"/>
      <w:numFmt w:val="chineseCounting"/>
      <w:suff w:val="nothing"/>
      <w:lvlText w:val="（%1）"/>
      <w:lvlJc w:val="left"/>
      <w:rPr>
        <w:rFonts w:hint="eastAsia"/>
      </w:rPr>
    </w:lvl>
  </w:abstractNum>
  <w:abstractNum w:abstractNumId="4">
    <w:nsid w:val="01C63BB2"/>
    <w:multiLevelType w:val="singleLevel"/>
    <w:tmpl w:val="01C63BB2"/>
    <w:lvl w:ilvl="0" w:tentative="0">
      <w:start w:val="1"/>
      <w:numFmt w:val="decimal"/>
      <w:lvlText w:val="%1."/>
      <w:lvlJc w:val="left"/>
      <w:pPr>
        <w:tabs>
          <w:tab w:val="left" w:pos="312"/>
        </w:tabs>
      </w:pPr>
    </w:lvl>
  </w:abstractNum>
  <w:abstractNum w:abstractNumId="5">
    <w:nsid w:val="3FD4AB63"/>
    <w:multiLevelType w:val="singleLevel"/>
    <w:tmpl w:val="3FD4AB63"/>
    <w:lvl w:ilvl="0" w:tentative="0">
      <w:start w:val="1"/>
      <w:numFmt w:val="decimal"/>
      <w:lvlText w:val="%1."/>
      <w:lvlJc w:val="left"/>
      <w:pPr>
        <w:tabs>
          <w:tab w:val="left" w:pos="312"/>
        </w:tabs>
      </w:pPr>
    </w:lvl>
  </w:abstractNum>
  <w:abstractNum w:abstractNumId="6">
    <w:nsid w:val="41B82468"/>
    <w:multiLevelType w:val="singleLevel"/>
    <w:tmpl w:val="41B82468"/>
    <w:lvl w:ilvl="0" w:tentative="0">
      <w:start w:val="2"/>
      <w:numFmt w:val="chineseCounting"/>
      <w:suff w:val="nothing"/>
      <w:lvlText w:val="（%1）"/>
      <w:lvlJc w:val="left"/>
      <w:rPr>
        <w:rFonts w:hint="eastAsia"/>
      </w:rPr>
    </w:lvl>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jMTg0MzJlZmU5MTY3Nzg2NTEwZDBmYzU4YjFlYzEifQ=="/>
  </w:docVars>
  <w:rsids>
    <w:rsidRoot w:val="421C3EF5"/>
    <w:rsid w:val="04BE4B89"/>
    <w:rsid w:val="1467076A"/>
    <w:rsid w:val="20943C19"/>
    <w:rsid w:val="27AD1570"/>
    <w:rsid w:val="286A0593"/>
    <w:rsid w:val="2E073C7C"/>
    <w:rsid w:val="394A7B00"/>
    <w:rsid w:val="3C1004C4"/>
    <w:rsid w:val="421C3EF5"/>
    <w:rsid w:val="48BC5937"/>
    <w:rsid w:val="4D714F3E"/>
    <w:rsid w:val="4EFB2A6E"/>
    <w:rsid w:val="523E560F"/>
    <w:rsid w:val="59D50A38"/>
    <w:rsid w:val="5BF074F3"/>
    <w:rsid w:val="5C423F4D"/>
    <w:rsid w:val="612E6214"/>
    <w:rsid w:val="64D8371B"/>
    <w:rsid w:val="68AB5C8E"/>
    <w:rsid w:val="6A203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3531</Words>
  <Characters>3617</Characters>
  <Lines>0</Lines>
  <Paragraphs>0</Paragraphs>
  <TotalTime>7</TotalTime>
  <ScaleCrop>false</ScaleCrop>
  <LinksUpToDate>false</LinksUpToDate>
  <CharactersWithSpaces>3664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2024-04-24T06:34:00Z</dcterms:created>
  <dc:creator>熊出没</dc:creator>
  <cp:lastModifiedBy>admin</cp:lastModifiedBy>
  <dcterms:modified xsi:type="dcterms:W3CDTF">2024-10-12T03:31:36Z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94ED724678F3431BB5C8991ACBB51D90</vt:lpwstr>
  </property>
</Properties>
</file>