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市场监管系统城镇燃气安全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专项整治行动成果统计表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9"/>
          <w:szCs w:val="29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lang w:val="en-US" w:eastAsia="zh-CN" w:bidi="ar"/>
        </w:rPr>
        <w:t>填报单位：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lang w:val="en-US" w:eastAsia="zh-CN" w:bidi="ar"/>
        </w:rPr>
        <w:t>填报日期：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u w:val="single"/>
          <w:lang w:val="en-US" w:eastAsia="zh-CN" w:bidi="ar"/>
        </w:rPr>
        <w:t xml:space="preserve">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995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具体项目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监管执法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典型案例曝光 (起)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重大案件查办 (起)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违法人员惩治 (人)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开展监督检查 (人次)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检查液化石油气生产经营单位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检查燃气气瓶制造单位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检查燃气气瓶充装单位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检查燃气气瓶检验单位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监督抽查燃气器具 (批次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检查燃气器具生产单位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检查燃气器具销售单位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检查燃气压力管道及相关压力容器使用单位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检查燃气压力管道及相关压力容器检验单位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约谈单位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立案查办违法案件 (件)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责令改正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没收产品 (件)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责令停产停业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出具监察指令书 (份)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暂停、撤销家用燃气器具 CCC 认证证书 (张)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吊销单位资格证书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吊销人员资格证书 (家)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罚没金额 (万元)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移送司法机关 (件)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列入严重违法失信名单户数 (户)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发布执法指引、指导案例等细化执法标准措施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制度机制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建设情况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成立工作专班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出台制度文件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制修订法规规范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制修订国家标准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制修订地方标准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制修订团体标准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压紧压实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责任情况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总局层面出台落实相关责任的指导性文件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地方省市层面出台落实相关责任的指导性文件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加强行业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自律情况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国家级行业协会发布公开倡议、制定行业公约、作出行业承诺 (份)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地方省市级行业协会发布公开倡议、 制定行业公约、 作出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行业承诺 (份)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宣传教育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培训监管人员 (名)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培训气瓶安全总监、气瓶安全员、特种设备作业人员 (名)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培训燃气器具质量安全总监、质量安全员 (名)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发放培训材料 (份)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组织专题培训班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各类广播电视、网络媒介、挂图、公益广告进行宣传报道(篇次)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开展重点宣传活动 (次)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制作手册、海报、图解、视频等宣传产品 (个)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宣传覆盖人群 (人次)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宣传报道及宣传产品浏览量 (人次)</w:t>
            </w:r>
          </w:p>
        </w:tc>
        <w:tc>
          <w:tcPr>
            <w:tcW w:w="13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9"/>
          <w:szCs w:val="29"/>
          <w:lang w:val="en-US" w:eastAsia="zh-CN" w:bidi="ar"/>
        </w:rPr>
        <w:t>注: 报送数据为开展专项整治行动以来的累计数。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40B72949"/>
    <w:rsid w:val="40B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2023-10-17T01:08:00Z</dcterms:created>
  <dc:creator>Administrator</dc:creator>
  <cp:lastModifiedBy>Administrator</cp:lastModifiedBy>
  <dcterms:modified xsi:type="dcterms:W3CDTF">2023-10-17T01:09:00Z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310CDC4483BD4D299C309B7644C4534E_11</vt:lpwstr>
  </property>
</Properties>
</file>