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Theme="majorEastAsia" w:hAnsiTheme="majorEastAsia" w:eastAsiaTheme="majorEastAsia" w:cstheme="majorEastAsia"/>
          <w:b/>
          <w:bCs/>
          <w:color w:val="auto"/>
          <w:kern w:val="2"/>
          <w:sz w:val="44"/>
          <w:szCs w:val="44"/>
          <w:lang w:val="en-US" w:eastAsia="zh-CN" w:bidi="ar-SA"/>
        </w:rPr>
      </w:pPr>
      <w:bookmarkStart w:id="5" w:name="_GoBack"/>
      <w:bookmarkEnd w:id="5"/>
      <w:r>
        <w:rPr>
          <w:rFonts w:hint="eastAsia" w:asciiTheme="majorEastAsia" w:hAnsiTheme="majorEastAsia" w:eastAsiaTheme="majorEastAsia" w:cstheme="majorEastAsia"/>
          <w:b/>
          <w:bCs/>
          <w:color w:val="auto"/>
          <w:kern w:val="2"/>
          <w:sz w:val="44"/>
          <w:szCs w:val="44"/>
          <w:lang w:val="en-US" w:eastAsia="zh-CN" w:bidi="ar-SA"/>
        </w:rPr>
        <w:t>2023年部门整体支出绩效评价报告</w:t>
      </w:r>
    </w:p>
    <w:p>
      <w:pPr>
        <w:pStyle w:val="7"/>
        <w:keepNext w:val="0"/>
        <w:keepLines w:val="0"/>
        <w:pageBreakBefore w:val="0"/>
        <w:widowControl/>
        <w:kinsoku/>
        <w:wordWrap/>
        <w:overflowPunct/>
        <w:topLinePunct w:val="0"/>
        <w:autoSpaceDE/>
        <w:autoSpaceDN/>
        <w:bidi w:val="0"/>
        <w:adjustRightInd/>
        <w:snapToGrid/>
        <w:spacing w:before="0" w:beforeAutospacing="0" w:after="0"/>
        <w:ind w:left="0" w:leftChars="0" w:firstLine="0" w:firstLineChars="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县财政局: </w:t>
      </w:r>
    </w:p>
    <w:p>
      <w:pPr>
        <w:pStyle w:val="7"/>
        <w:keepNext w:val="0"/>
        <w:keepLines w:val="0"/>
        <w:pageBreakBefore w:val="0"/>
        <w:widowControl/>
        <w:kinsoku/>
        <w:wordWrap/>
        <w:overflowPunct/>
        <w:topLinePunct w:val="0"/>
        <w:autoSpaceDE/>
        <w:autoSpaceDN/>
        <w:bidi w:val="0"/>
        <w:adjustRightInd/>
        <w:snapToGrid/>
        <w:spacing w:before="0" w:beforeAutospacing="0" w:after="0"/>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xml:space="preserve">为贯彻落实《张家川县人民政府关于全面贯彻落实预算绩效管理的实施意见》(张政办发[2018]82号)，进一步规范财政资金管理，强化财政支出绩效理念和责任意识，切实提高财政资金使用效益，我单位高度重视，成立由项目办牵头，相关业务股室参加的评价工作小组，认真开展整体绩效评价，现将2023年本部门整体绩效工作总结如下: </w:t>
      </w:r>
    </w:p>
    <w:p>
      <w:pPr>
        <w:widowControl w:val="0"/>
        <w:snapToGrid w:val="0"/>
        <w:spacing w:line="560" w:lineRule="exact"/>
        <w:ind w:firstLine="640" w:firstLineChars="200"/>
        <w:rPr>
          <w:rFonts w:hint="default" w:ascii="黑体" w:hAnsi="仿宋_GB2312" w:eastAsia="黑体" w:cs="Times New Roman"/>
          <w:kern w:val="0"/>
          <w:sz w:val="32"/>
          <w:szCs w:val="30"/>
          <w:lang w:val="en-US" w:eastAsia="zh-CN" w:bidi="ar-SA"/>
        </w:rPr>
      </w:pPr>
      <w:r>
        <w:rPr>
          <w:rFonts w:hint="eastAsia" w:ascii="黑体" w:hAnsi="仿宋_GB2312" w:eastAsia="黑体" w:cs="Times New Roman"/>
          <w:kern w:val="0"/>
          <w:sz w:val="32"/>
          <w:szCs w:val="30"/>
          <w:lang w:val="en-US" w:eastAsia="zh-CN" w:bidi="ar-SA"/>
        </w:rPr>
        <w:t>一、部门概况</w:t>
      </w:r>
    </w:p>
    <w:p>
      <w:pPr>
        <w:widowControl/>
        <w:spacing w:line="560" w:lineRule="exact"/>
        <w:ind w:firstLine="643" w:firstLineChars="200"/>
        <w:jc w:val="left"/>
        <w:rPr>
          <w:rFonts w:hint="eastAsia" w:ascii="楷体_GB2312" w:hAnsi="仿宋_GB2312" w:eastAsia="楷体_GB2312" w:cs="Times New Roman"/>
          <w:b/>
          <w:kern w:val="0"/>
          <w:sz w:val="32"/>
          <w:szCs w:val="30"/>
          <w:lang w:val="en-US" w:eastAsia="zh-CN" w:bidi="ar-SA"/>
        </w:rPr>
      </w:pPr>
      <w:r>
        <w:rPr>
          <w:rFonts w:hint="eastAsia" w:ascii="楷体_GB2312" w:hAnsi="仿宋_GB2312" w:eastAsia="楷体_GB2312" w:cs="Times New Roman"/>
          <w:b/>
          <w:kern w:val="0"/>
          <w:sz w:val="32"/>
          <w:szCs w:val="30"/>
          <w:lang w:val="en-US" w:eastAsia="zh-CN" w:bidi="ar-SA"/>
        </w:rPr>
        <w:t>(一)</w:t>
      </w:r>
      <w:r>
        <w:rPr>
          <w:rFonts w:hint="eastAsia" w:ascii="楷体_GB2312" w:hAnsi="仿宋_GB2312" w:eastAsia="楷体_GB2312" w:cs="Times New Roman"/>
          <w:b/>
          <w:kern w:val="0"/>
          <w:sz w:val="32"/>
          <w:szCs w:val="30"/>
          <w:lang w:val="zh-CN" w:eastAsia="zh-CN" w:bidi="ar-SA"/>
        </w:rPr>
        <w:t>机构</w:t>
      </w:r>
      <w:r>
        <w:rPr>
          <w:rFonts w:hint="eastAsia" w:ascii="楷体_GB2312" w:hAnsi="仿宋_GB2312" w:eastAsia="楷体_GB2312" w:cs="Times New Roman"/>
          <w:b/>
          <w:kern w:val="0"/>
          <w:sz w:val="32"/>
          <w:szCs w:val="30"/>
          <w:lang w:val="en-US" w:eastAsia="zh-CN" w:bidi="ar-SA"/>
        </w:rPr>
        <w:t>组成</w:t>
      </w:r>
    </w:p>
    <w:p>
      <w:pPr>
        <w:keepNext w:val="0"/>
        <w:keepLines w:val="0"/>
        <w:pageBreakBefore w:val="0"/>
        <w:widowControl/>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zh-CN" w:eastAsia="zh-CN" w:bidi="ar-SA"/>
        </w:rPr>
      </w:pPr>
      <w:bookmarkStart w:id="0" w:name="OLE_LINK1"/>
      <w:r>
        <w:rPr>
          <w:rFonts w:hint="eastAsia" w:ascii="Times New Roman" w:hAnsi="Times New Roman" w:eastAsia="仿宋_GB2312" w:cs="Times New Roman"/>
          <w:b w:val="0"/>
          <w:bCs w:val="0"/>
          <w:color w:val="auto"/>
          <w:kern w:val="2"/>
          <w:sz w:val="32"/>
          <w:szCs w:val="32"/>
          <w:lang w:val="en-US" w:eastAsia="zh-CN" w:bidi="ar-SA"/>
        </w:rPr>
        <w:t>张家川县自然资源</w:t>
      </w:r>
      <w:bookmarkEnd w:id="0"/>
      <w:r>
        <w:rPr>
          <w:rFonts w:hint="eastAsia" w:ascii="Times New Roman" w:hAnsi="Times New Roman" w:eastAsia="仿宋_GB2312" w:cs="Times New Roman"/>
          <w:b w:val="0"/>
          <w:bCs w:val="0"/>
          <w:color w:val="auto"/>
          <w:kern w:val="2"/>
          <w:sz w:val="32"/>
          <w:szCs w:val="32"/>
          <w:lang w:val="en-US" w:eastAsia="zh-CN" w:bidi="ar-SA"/>
        </w:rPr>
        <w:t>局为张家川县政府工作部门，加挂张家川县林业和草原局牌子，内设机构有办公室、规划管制股、生态修复股、保护利用股、确权登记股等，下属单位有关山林场、马鹿林场。</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default" w:ascii="楷体_GB2312" w:hAnsi="仿宋_GB2312" w:eastAsia="楷体_GB2312" w:cs="Times New Roman"/>
          <w:b/>
          <w:kern w:val="0"/>
          <w:sz w:val="32"/>
          <w:szCs w:val="30"/>
          <w:lang w:val="en-US" w:eastAsia="zh-CN" w:bidi="ar-SA"/>
        </w:rPr>
      </w:pPr>
      <w:r>
        <w:rPr>
          <w:rFonts w:hint="eastAsia" w:ascii="楷体_GB2312" w:hAnsi="仿宋_GB2312" w:eastAsia="楷体_GB2312" w:cs="Times New Roman"/>
          <w:b/>
          <w:kern w:val="0"/>
          <w:sz w:val="32"/>
          <w:szCs w:val="30"/>
          <w:lang w:val="en-US" w:eastAsia="zh-CN" w:bidi="ar-SA"/>
        </w:rPr>
        <w:t>（二）机构职能</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1.履行全民所有土地、自然保护地、矿产、森林、草原、湿地、水等自然资源资产所有者职责和所有国上空间用途管制职责贯彻执行自然资源和国土空间规划及测绘等法律、法规，贯彻实施相关管理办法。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2.负责自然资源调查监测评价管理。</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3.负责自然资源统一确权登记工作。</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4.负责自然资源资产有偿使用工作.贯彻执行国家全民所有自然资源资产统计制度，负责全民所有自然资源资产核算、编制全民所有自然资源资产负债表，拟订考核标准。</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5.负责自然资源的合理开发利用。</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6.负责建立空间规划体系并组织实施。</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7.负责统筹国土空间生态修复。</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8.负责组织实施最严格的耕地，林地、草原、湿地保护制度，贯彻执行耕地、林地、草原、湿地保护政策，负责耕地、林地、草原、湿地数量、质量、生态保护。</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9.负责管理地质勘查相关工作。</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10.负责矿产资源管理工作。</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11.负责测给地理信息管理工作，负责基础测绘和测绘行业管理。</w:t>
      </w:r>
    </w:p>
    <w:p>
      <w:pPr>
        <w:keepNext w:val="0"/>
        <w:keepLines w:val="0"/>
        <w:pageBreakBefore w:val="0"/>
        <w:widowControl/>
        <w:shd w:val="clear" w:color="auto" w:fill="FFFFFF"/>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12.负责监督管理全县各类自然保护地。</w:t>
      </w:r>
    </w:p>
    <w:p>
      <w:pPr>
        <w:keepNext w:val="0"/>
        <w:keepLines w:val="0"/>
        <w:pageBreakBefore w:val="0"/>
        <w:widowControl/>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13.承办县委、县政府交办的其他工作。</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default" w:ascii="楷体_GB2312" w:hAnsi="仿宋_GB2312" w:eastAsia="楷体_GB2312" w:cs="Times New Roman"/>
          <w:b/>
          <w:kern w:val="0"/>
          <w:sz w:val="32"/>
          <w:szCs w:val="30"/>
          <w:lang w:val="en-US" w:eastAsia="zh-CN" w:bidi="ar-SA"/>
        </w:rPr>
      </w:pPr>
      <w:r>
        <w:rPr>
          <w:rFonts w:hint="eastAsia" w:ascii="楷体_GB2312" w:hAnsi="仿宋_GB2312" w:eastAsia="楷体_GB2312" w:cs="Times New Roman"/>
          <w:b/>
          <w:kern w:val="0"/>
          <w:sz w:val="32"/>
          <w:szCs w:val="30"/>
          <w:lang w:val="en-US" w:eastAsia="zh-CN" w:bidi="ar-SA"/>
        </w:rPr>
        <w:t>（三）人员概况</w:t>
      </w:r>
    </w:p>
    <w:p>
      <w:pPr>
        <w:keepNext w:val="0"/>
        <w:keepLines w:val="0"/>
        <w:pageBreakBefore w:val="0"/>
        <w:kinsoku/>
        <w:wordWrap/>
        <w:overflowPunct/>
        <w:topLinePunct w:val="0"/>
        <w:autoSpaceDE/>
        <w:autoSpaceDN/>
        <w:bidi w:val="0"/>
        <w:adjustRightInd/>
        <w:snapToGrid/>
        <w:spacing w:beforeAutospacing="0" w:line="576" w:lineRule="exact"/>
        <w:ind w:firstLine="640" w:firstLineChars="200"/>
        <w:jc w:val="left"/>
        <w:textAlignment w:val="auto"/>
        <w:rPr>
          <w:rFonts w:hint="default" w:ascii="宋体" w:hAnsi="宋体"/>
          <w:color w:val="auto"/>
          <w:sz w:val="24"/>
          <w:szCs w:val="24"/>
          <w:lang w:val="en-US"/>
        </w:rPr>
      </w:pPr>
      <w:r>
        <w:rPr>
          <w:rFonts w:hint="eastAsia" w:ascii="Times New Roman" w:hAnsi="Times New Roman" w:eastAsia="仿宋_GB2312" w:cs="Times New Roman"/>
          <w:b w:val="0"/>
          <w:bCs w:val="0"/>
          <w:color w:val="auto"/>
          <w:kern w:val="2"/>
          <w:sz w:val="32"/>
          <w:szCs w:val="32"/>
          <w:lang w:val="en-US" w:eastAsia="zh-CN" w:bidi="ar-SA"/>
        </w:rPr>
        <w:t>局本级共有全额职工173 人，其中在职127人，退休46人。关山林场在职68人，退休38人、马鹿林场在职73人，退休44人。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仿宋_GB2312" w:eastAsia="黑体" w:cs="Times New Roman"/>
          <w:kern w:val="0"/>
          <w:sz w:val="32"/>
          <w:szCs w:val="30"/>
          <w:lang w:val="zh-CN" w:eastAsia="zh-CN" w:bidi="ar-SA"/>
        </w:rPr>
      </w:pPr>
      <w:r>
        <w:rPr>
          <w:rFonts w:hint="eastAsia" w:ascii="黑体" w:hAnsi="仿宋_GB2312" w:eastAsia="黑体" w:cs="Times New Roman"/>
          <w:kern w:val="0"/>
          <w:sz w:val="32"/>
          <w:szCs w:val="30"/>
          <w:lang w:val="en-US" w:eastAsia="zh-CN" w:bidi="ar-SA"/>
        </w:rPr>
        <w:t>二、部门财政资金收支情况</w:t>
      </w:r>
      <w:r>
        <w:rPr>
          <w:rFonts w:hint="eastAsia" w:ascii="黑体" w:hAnsi="仿宋_GB2312" w:eastAsia="黑体" w:cs="Times New Roman"/>
          <w:kern w:val="0"/>
          <w:sz w:val="32"/>
          <w:szCs w:val="30"/>
          <w:lang w:val="zh-CN" w:eastAsia="zh-CN" w:bidi="ar-SA"/>
        </w:rPr>
        <w:t>收</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default" w:ascii="楷体_GB2312" w:hAnsi="仿宋_GB2312" w:eastAsia="楷体_GB2312" w:cs="Times New Roman"/>
          <w:b/>
          <w:kern w:val="0"/>
          <w:sz w:val="32"/>
          <w:szCs w:val="30"/>
          <w:lang w:val="en-US" w:eastAsia="zh-CN" w:bidi="ar-SA"/>
        </w:rPr>
      </w:pPr>
      <w:r>
        <w:rPr>
          <w:rFonts w:hint="eastAsia" w:ascii="楷体_GB2312" w:hAnsi="仿宋_GB2312" w:eastAsia="楷体_GB2312" w:cs="Times New Roman"/>
          <w:b/>
          <w:kern w:val="0"/>
          <w:sz w:val="32"/>
          <w:szCs w:val="30"/>
          <w:lang w:val="zh-CN" w:eastAsia="zh-CN" w:bidi="ar-SA"/>
        </w:rPr>
        <w:t>（</w:t>
      </w:r>
      <w:r>
        <w:rPr>
          <w:rFonts w:hint="eastAsia" w:ascii="楷体_GB2312" w:hAnsi="仿宋_GB2312" w:eastAsia="楷体_GB2312" w:cs="Times New Roman"/>
          <w:b/>
          <w:kern w:val="0"/>
          <w:sz w:val="32"/>
          <w:szCs w:val="30"/>
          <w:lang w:val="en-US" w:eastAsia="zh-CN" w:bidi="ar-SA"/>
        </w:rPr>
        <w:t>一</w:t>
      </w:r>
      <w:r>
        <w:rPr>
          <w:rFonts w:hint="eastAsia" w:ascii="楷体_GB2312" w:hAnsi="仿宋_GB2312" w:eastAsia="楷体_GB2312" w:cs="Times New Roman"/>
          <w:b/>
          <w:kern w:val="0"/>
          <w:sz w:val="32"/>
          <w:szCs w:val="30"/>
          <w:lang w:val="zh-CN" w:eastAsia="zh-CN" w:bidi="ar-SA"/>
        </w:rPr>
        <w:t>）</w:t>
      </w:r>
      <w:r>
        <w:rPr>
          <w:rFonts w:hint="eastAsia" w:ascii="楷体_GB2312" w:hAnsi="仿宋_GB2312" w:eastAsia="楷体_GB2312" w:cs="Times New Roman"/>
          <w:b/>
          <w:kern w:val="0"/>
          <w:sz w:val="32"/>
          <w:szCs w:val="30"/>
          <w:lang w:val="en-US" w:eastAsia="zh-CN" w:bidi="ar-SA"/>
        </w:rPr>
        <w:t>部门财政资金收入情况</w:t>
      </w:r>
    </w:p>
    <w:p>
      <w:pPr>
        <w:keepNext w:val="0"/>
        <w:keepLines w:val="0"/>
        <w:pageBreakBefore w:val="0"/>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zh-CN" w:eastAsia="zh-CN" w:bidi="ar-SA"/>
        </w:rPr>
        <w:t>2023年度收入合计21779.04万元,其中：财政拨款收入21779.04万元,占100.00%。</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楷体_GB2312" w:hAnsi="仿宋_GB2312" w:eastAsia="楷体_GB2312" w:cs="Times New Roman"/>
          <w:b/>
          <w:kern w:val="0"/>
          <w:sz w:val="32"/>
          <w:szCs w:val="30"/>
          <w:lang w:val="zh-CN" w:eastAsia="zh-CN" w:bidi="ar-SA"/>
        </w:rPr>
      </w:pPr>
      <w:r>
        <w:rPr>
          <w:rFonts w:hint="eastAsia" w:ascii="楷体_GB2312" w:hAnsi="仿宋_GB2312" w:eastAsia="楷体_GB2312" w:cs="Times New Roman"/>
          <w:b/>
          <w:kern w:val="0"/>
          <w:sz w:val="32"/>
          <w:szCs w:val="30"/>
          <w:lang w:val="zh-CN" w:eastAsia="zh-CN" w:bidi="ar-SA"/>
        </w:rPr>
        <w:t>（</w:t>
      </w:r>
      <w:r>
        <w:rPr>
          <w:rFonts w:hint="eastAsia" w:ascii="楷体_GB2312" w:hAnsi="仿宋_GB2312" w:eastAsia="楷体_GB2312" w:cs="Times New Roman"/>
          <w:b/>
          <w:kern w:val="0"/>
          <w:sz w:val="32"/>
          <w:szCs w:val="30"/>
          <w:lang w:val="en-US" w:eastAsia="zh-CN" w:bidi="ar-SA"/>
        </w:rPr>
        <w:t>二</w:t>
      </w:r>
      <w:r>
        <w:rPr>
          <w:rFonts w:hint="eastAsia" w:ascii="楷体_GB2312" w:hAnsi="仿宋_GB2312" w:eastAsia="楷体_GB2312" w:cs="Times New Roman"/>
          <w:b/>
          <w:kern w:val="0"/>
          <w:sz w:val="32"/>
          <w:szCs w:val="30"/>
          <w:lang w:val="zh-CN" w:eastAsia="zh-CN" w:bidi="ar-SA"/>
        </w:rPr>
        <w:t>）</w:t>
      </w:r>
      <w:r>
        <w:rPr>
          <w:rFonts w:hint="eastAsia" w:ascii="楷体_GB2312" w:hAnsi="仿宋_GB2312" w:eastAsia="楷体_GB2312" w:cs="Times New Roman"/>
          <w:b/>
          <w:kern w:val="0"/>
          <w:sz w:val="32"/>
          <w:szCs w:val="30"/>
          <w:lang w:val="en-US" w:eastAsia="zh-CN" w:bidi="ar-SA"/>
        </w:rPr>
        <w:t>部门财政资金</w:t>
      </w:r>
      <w:r>
        <w:rPr>
          <w:rFonts w:hint="eastAsia" w:ascii="楷体_GB2312" w:hAnsi="仿宋_GB2312" w:eastAsia="楷体_GB2312" w:cs="Times New Roman"/>
          <w:b/>
          <w:kern w:val="0"/>
          <w:sz w:val="32"/>
          <w:szCs w:val="30"/>
          <w:lang w:val="zh-CN" w:eastAsia="zh-CN" w:bidi="ar-SA"/>
        </w:rPr>
        <w:t>支出情况</w:t>
      </w:r>
    </w:p>
    <w:p>
      <w:pPr>
        <w:keepNext w:val="0"/>
        <w:keepLines w:val="0"/>
        <w:pageBreakBefore w:val="0"/>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zh-CN" w:eastAsia="zh-CN" w:bidi="ar-SA"/>
        </w:rPr>
      </w:pPr>
      <w:r>
        <w:rPr>
          <w:rFonts w:hint="eastAsia" w:ascii="Times New Roman" w:hAnsi="Times New Roman" w:eastAsia="仿宋_GB2312" w:cs="Times New Roman"/>
          <w:b w:val="0"/>
          <w:bCs w:val="0"/>
          <w:color w:val="auto"/>
          <w:kern w:val="2"/>
          <w:sz w:val="32"/>
          <w:szCs w:val="32"/>
          <w:lang w:val="zh-CN" w:eastAsia="zh-CN" w:bidi="ar-SA"/>
        </w:rPr>
        <w:t>2023年度支出合计22248.92万元,其中：基本支出3711.14万元,占16.68%；项目支出18537.78万元,占83.32%。</w:t>
      </w:r>
    </w:p>
    <w:p>
      <w:pPr>
        <w:keepNext w:val="0"/>
        <w:keepLines w:val="0"/>
        <w:pageBreakBefore w:val="0"/>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zh-CN" w:eastAsia="zh-CN" w:bidi="ar-SA"/>
        </w:rPr>
      </w:pPr>
      <w:r>
        <w:rPr>
          <w:rFonts w:hint="eastAsia" w:ascii="Times New Roman" w:hAnsi="Times New Roman" w:eastAsia="仿宋_GB2312" w:cs="Times New Roman"/>
          <w:b w:val="0"/>
          <w:bCs w:val="0"/>
          <w:color w:val="auto"/>
          <w:kern w:val="2"/>
          <w:sz w:val="32"/>
          <w:szCs w:val="32"/>
          <w:lang w:val="zh-CN" w:eastAsia="zh-CN" w:bidi="ar-SA"/>
        </w:rPr>
        <w:t>2023年度</w:t>
      </w:r>
      <w:r>
        <w:rPr>
          <w:rFonts w:hint="default" w:ascii="Times New Roman" w:hAnsi="Times New Roman" w:eastAsia="仿宋_GB2312" w:cs="Times New Roman"/>
          <w:b w:val="0"/>
          <w:bCs w:val="0"/>
          <w:color w:val="auto"/>
          <w:kern w:val="2"/>
          <w:sz w:val="32"/>
          <w:szCs w:val="32"/>
          <w:lang w:val="zh-CN" w:eastAsia="zh-CN" w:bidi="ar-SA"/>
        </w:rPr>
        <w:t>“</w:t>
      </w:r>
      <w:r>
        <w:rPr>
          <w:rFonts w:hint="eastAsia" w:ascii="Times New Roman" w:hAnsi="Times New Roman" w:eastAsia="仿宋_GB2312" w:cs="Times New Roman"/>
          <w:b w:val="0"/>
          <w:bCs w:val="0"/>
          <w:color w:val="auto"/>
          <w:kern w:val="2"/>
          <w:sz w:val="32"/>
          <w:szCs w:val="32"/>
          <w:lang w:val="zh-CN" w:eastAsia="zh-CN" w:bidi="ar-SA"/>
        </w:rPr>
        <w:t>三公</w:t>
      </w:r>
      <w:r>
        <w:rPr>
          <w:rFonts w:hint="default" w:ascii="Times New Roman" w:hAnsi="Times New Roman" w:eastAsia="仿宋_GB2312" w:cs="Times New Roman"/>
          <w:b w:val="0"/>
          <w:bCs w:val="0"/>
          <w:color w:val="auto"/>
          <w:kern w:val="2"/>
          <w:sz w:val="32"/>
          <w:szCs w:val="32"/>
          <w:lang w:val="zh-CN" w:eastAsia="zh-CN" w:bidi="ar-SA"/>
        </w:rPr>
        <w:t>”</w:t>
      </w:r>
      <w:r>
        <w:rPr>
          <w:rFonts w:hint="eastAsia" w:ascii="Times New Roman" w:hAnsi="Times New Roman" w:eastAsia="仿宋_GB2312" w:cs="Times New Roman"/>
          <w:b w:val="0"/>
          <w:bCs w:val="0"/>
          <w:color w:val="auto"/>
          <w:kern w:val="2"/>
          <w:sz w:val="32"/>
          <w:szCs w:val="32"/>
          <w:lang w:val="zh-CN" w:eastAsia="zh-CN" w:bidi="ar-SA"/>
        </w:rPr>
        <w:t>经费支出</w:t>
      </w:r>
      <w:r>
        <w:rPr>
          <w:rFonts w:hint="eastAsia" w:ascii="Times New Roman" w:hAnsi="Times New Roman" w:eastAsia="仿宋_GB2312" w:cs="Times New Roman"/>
          <w:b w:val="0"/>
          <w:bCs w:val="0"/>
          <w:color w:val="auto"/>
          <w:kern w:val="2"/>
          <w:sz w:val="32"/>
          <w:szCs w:val="32"/>
          <w:lang w:val="en-US" w:eastAsia="zh-CN" w:bidi="ar-SA"/>
        </w:rPr>
        <w:t>全年</w:t>
      </w:r>
      <w:r>
        <w:rPr>
          <w:rFonts w:hint="eastAsia" w:ascii="Times New Roman" w:hAnsi="Times New Roman" w:eastAsia="仿宋_GB2312" w:cs="Times New Roman"/>
          <w:b w:val="0"/>
          <w:bCs w:val="0"/>
          <w:color w:val="auto"/>
          <w:kern w:val="2"/>
          <w:sz w:val="32"/>
          <w:szCs w:val="32"/>
          <w:lang w:val="zh-CN" w:eastAsia="zh-CN" w:bidi="ar-SA"/>
        </w:rPr>
        <w:t>预算数为0.00万元,支出决算为0.00万元,决算数小于预算数的主要原因是无三公经费收入，</w:t>
      </w:r>
      <w:r>
        <w:rPr>
          <w:rFonts w:hint="eastAsia" w:ascii="Times New Roman" w:hAnsi="Times New Roman" w:eastAsia="仿宋_GB2312" w:cs="Times New Roman"/>
          <w:b w:val="0"/>
          <w:bCs w:val="0"/>
          <w:color w:val="auto"/>
          <w:kern w:val="2"/>
          <w:sz w:val="32"/>
          <w:szCs w:val="32"/>
          <w:lang w:val="en-US" w:eastAsia="zh-CN" w:bidi="ar-SA"/>
        </w:rPr>
        <w:t>较上年决算数减少0.0</w:t>
      </w:r>
      <w:r>
        <w:rPr>
          <w:rFonts w:hint="eastAsia" w:ascii="Times New Roman" w:hAnsi="Times New Roman" w:eastAsia="仿宋_GB2312" w:cs="Times New Roman"/>
          <w:b w:val="0"/>
          <w:bCs w:val="0"/>
          <w:color w:val="auto"/>
          <w:kern w:val="2"/>
          <w:sz w:val="32"/>
          <w:szCs w:val="32"/>
          <w:lang w:val="zh-CN" w:eastAsia="zh-CN" w:bidi="ar-SA"/>
        </w:rPr>
        <w:t>万元</w:t>
      </w:r>
      <w:r>
        <w:rPr>
          <w:rFonts w:hint="eastAsia" w:ascii="Times New Roman" w:hAnsi="Times New Roman" w:eastAsia="仿宋_GB2312" w:cs="Times New Roman"/>
          <w:b w:val="0"/>
          <w:bCs w:val="0"/>
          <w:color w:val="auto"/>
          <w:kern w:val="2"/>
          <w:sz w:val="32"/>
          <w:szCs w:val="32"/>
          <w:lang w:val="en-US" w:eastAsia="zh-CN" w:bidi="ar-SA"/>
        </w:rPr>
        <w:t>,下降</w:t>
      </w:r>
      <w:r>
        <w:rPr>
          <w:rFonts w:hint="eastAsia" w:ascii="Times New Roman" w:hAnsi="Times New Roman" w:eastAsia="仿宋_GB2312" w:cs="Times New Roman"/>
          <w:b w:val="0"/>
          <w:bCs w:val="0"/>
          <w:color w:val="auto"/>
          <w:kern w:val="2"/>
          <w:sz w:val="32"/>
          <w:szCs w:val="32"/>
          <w:lang w:val="zh-CN" w:eastAsia="zh-CN" w:bidi="ar-SA"/>
        </w:rPr>
        <w:t>%</w:t>
      </w:r>
      <w:r>
        <w:rPr>
          <w:rFonts w:hint="eastAsia" w:ascii="Times New Roman" w:hAnsi="Times New Roman" w:eastAsia="仿宋_GB2312" w:cs="Times New Roman"/>
          <w:b w:val="0"/>
          <w:bCs w:val="0"/>
          <w:color w:val="auto"/>
          <w:kern w:val="2"/>
          <w:sz w:val="32"/>
          <w:szCs w:val="32"/>
          <w:lang w:val="en-US" w:eastAsia="zh-CN" w:bidi="ar-SA"/>
        </w:rPr>
        <w:t>,主要原因是无变化</w:t>
      </w:r>
      <w:r>
        <w:rPr>
          <w:rFonts w:hint="eastAsia" w:ascii="Times New Roman" w:hAnsi="Times New Roman" w:eastAsia="仿宋_GB2312" w:cs="Times New Roman"/>
          <w:b w:val="0"/>
          <w:bCs w:val="0"/>
          <w:color w:val="auto"/>
          <w:kern w:val="2"/>
          <w:sz w:val="32"/>
          <w:szCs w:val="32"/>
          <w:lang w:val="zh-CN" w:eastAsia="zh-CN" w:bidi="ar-SA"/>
        </w:rPr>
        <w:t>。</w:t>
      </w:r>
    </w:p>
    <w:p>
      <w:pPr>
        <w:widowControl w:val="0"/>
        <w:snapToGrid w:val="0"/>
        <w:spacing w:line="560" w:lineRule="exact"/>
        <w:ind w:firstLine="640" w:firstLineChars="200"/>
        <w:rPr>
          <w:rFonts w:hint="eastAsia" w:ascii="黑体" w:hAnsi="仿宋_GB2312" w:eastAsia="黑体" w:cs="Times New Roman"/>
          <w:kern w:val="0"/>
          <w:sz w:val="32"/>
          <w:szCs w:val="30"/>
          <w:lang w:val="zh-CN" w:eastAsia="zh-CN" w:bidi="ar-SA"/>
        </w:rPr>
      </w:pPr>
      <w:r>
        <w:rPr>
          <w:rFonts w:hint="eastAsia" w:ascii="黑体" w:hAnsi="仿宋_GB2312" w:eastAsia="黑体" w:cs="Times New Roman"/>
          <w:kern w:val="0"/>
          <w:sz w:val="32"/>
          <w:szCs w:val="30"/>
          <w:lang w:val="en-US" w:eastAsia="zh-CN" w:bidi="ar-SA"/>
        </w:rPr>
        <w:t>三、部门整体</w:t>
      </w:r>
      <w:r>
        <w:rPr>
          <w:rFonts w:hint="eastAsia" w:ascii="黑体" w:hAnsi="仿宋_GB2312" w:eastAsia="黑体" w:cs="Times New Roman"/>
          <w:kern w:val="0"/>
          <w:sz w:val="32"/>
          <w:szCs w:val="30"/>
          <w:lang w:val="zh-CN" w:eastAsia="zh-CN" w:bidi="ar-SA"/>
        </w:rPr>
        <w:t>预算绩效</w:t>
      </w:r>
      <w:r>
        <w:rPr>
          <w:rFonts w:hint="eastAsia" w:ascii="黑体" w:hAnsi="仿宋_GB2312" w:eastAsia="黑体" w:cs="Times New Roman"/>
          <w:kern w:val="0"/>
          <w:sz w:val="32"/>
          <w:szCs w:val="30"/>
          <w:lang w:val="en-US" w:eastAsia="zh-CN" w:bidi="ar-SA"/>
        </w:rPr>
        <w:t>管理</w:t>
      </w:r>
      <w:r>
        <w:rPr>
          <w:rFonts w:hint="eastAsia" w:ascii="黑体" w:hAnsi="仿宋_GB2312" w:eastAsia="黑体" w:cs="Times New Roman"/>
          <w:kern w:val="0"/>
          <w:sz w:val="32"/>
          <w:szCs w:val="30"/>
          <w:lang w:val="zh-CN" w:eastAsia="zh-CN" w:bidi="ar-SA"/>
        </w:rPr>
        <w:t>情况</w:t>
      </w:r>
    </w:p>
    <w:p>
      <w:pPr>
        <w:widowControl/>
        <w:spacing w:line="560" w:lineRule="exact"/>
        <w:ind w:firstLine="643" w:firstLineChars="200"/>
        <w:jc w:val="left"/>
        <w:rPr>
          <w:rFonts w:hint="default" w:ascii="楷体_GB2312" w:hAnsi="仿宋_GB2312" w:eastAsia="楷体_GB2312" w:cs="Times New Roman"/>
          <w:b/>
          <w:kern w:val="0"/>
          <w:sz w:val="32"/>
          <w:szCs w:val="30"/>
          <w:lang w:val="en-US" w:eastAsia="zh-CN" w:bidi="ar-SA"/>
        </w:rPr>
      </w:pPr>
      <w:r>
        <w:rPr>
          <w:rFonts w:hint="eastAsia" w:ascii="楷体_GB2312" w:hAnsi="仿宋_GB2312" w:eastAsia="楷体_GB2312" w:cs="Times New Roman"/>
          <w:b/>
          <w:kern w:val="0"/>
          <w:sz w:val="32"/>
          <w:szCs w:val="30"/>
          <w:lang w:val="en-US" w:eastAsia="zh-CN" w:bidi="ar-SA"/>
        </w:rPr>
        <w:t>（一）部门预算管理</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我局在经费支出安排上，全面保障了机关正常运转。首先保障工资福利支出，每月工资准时上报。其次为各项统计业务的工作开展做好后勤保障，在经费上保证各环保工作人员能够更好的履行职能职责，促进工作正常有序开展。</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预算配置控制较好。财政供养人员控制在预算编制以内，“三公”经费预算保持相对稳定。</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2、预算执行比较到位。支出总额控制在调整预算总额以内，全年无截留或滞留资金情况。</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3、预算管理较为理想。制度执行总体较为有效，但仍需进一步强化。</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（1）</w:t>
      </w:r>
      <w:r>
        <w:rPr>
          <w:rFonts w:hint="default" w:ascii="Times New Roman" w:hAnsi="Times New Roman" w:eastAsia="仿宋_GB2312" w:cs="Times New Roman"/>
          <w:b w:val="0"/>
          <w:bCs w:val="0"/>
          <w:color w:val="auto"/>
          <w:kern w:val="2"/>
          <w:sz w:val="32"/>
          <w:szCs w:val="32"/>
          <w:lang w:val="en-US" w:eastAsia="zh-CN" w:bidi="ar-SA"/>
        </w:rPr>
        <w:t>对于单位的政府采购项目，凡单位购买属于政府采购范围内的货物、工程和服务，严格遵守政府采购相关法律法规的规定办理审批手续，政府采购执行率达到100%。</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w:t>
      </w:r>
      <w:r>
        <w:rPr>
          <w:rFonts w:hint="default" w:ascii="Times New Roman" w:hAnsi="Times New Roman" w:eastAsia="仿宋_GB2312" w:cs="Times New Roman"/>
          <w:b w:val="0"/>
          <w:bCs w:val="0"/>
          <w:color w:val="auto"/>
          <w:kern w:val="2"/>
          <w:sz w:val="32"/>
          <w:szCs w:val="32"/>
          <w:lang w:val="en-US" w:eastAsia="zh-CN" w:bidi="ar-SA"/>
        </w:rPr>
        <w:t>资金使用管理逐步加强。单位支出严格按照国家财经法规和财务管理制度规定执行，正确组织资金的筹集、调度和使用，债权债务及时结算、结清。费用开支有标准、有预算，正确核算收入、支出。100%支出均通过财政直接支付方式办理，</w:t>
      </w:r>
      <w:bookmarkStart w:id="1" w:name="OLE_LINK6"/>
      <w:r>
        <w:rPr>
          <w:rFonts w:hint="default" w:ascii="Times New Roman" w:hAnsi="Times New Roman" w:eastAsia="仿宋_GB2312" w:cs="Times New Roman"/>
          <w:b w:val="0"/>
          <w:bCs w:val="0"/>
          <w:color w:val="auto"/>
          <w:kern w:val="2"/>
          <w:sz w:val="32"/>
          <w:szCs w:val="32"/>
          <w:lang w:val="en-US" w:eastAsia="zh-CN" w:bidi="ar-SA"/>
        </w:rPr>
        <w:t>资金使用无截留、挤占、挪用、虚列支出等情况</w:t>
      </w:r>
      <w:bookmarkEnd w:id="1"/>
      <w:r>
        <w:rPr>
          <w:rFonts w:hint="default" w:ascii="Times New Roman" w:hAnsi="Times New Roman" w:eastAsia="仿宋_GB2312" w:cs="Times New Roman"/>
          <w:b w:val="0"/>
          <w:bCs w:val="0"/>
          <w:color w:val="auto"/>
          <w:kern w:val="2"/>
          <w:sz w:val="32"/>
          <w:szCs w:val="32"/>
          <w:lang w:val="en-US" w:eastAsia="zh-CN" w:bidi="ar-SA"/>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部门预算收支严格按年初部门预算方案执行，部门预决算、“三公”经费预决算按要求及时进行了公开。</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zh-CN" w:eastAsia="zh-CN" w:bidi="ar-SA"/>
        </w:rPr>
      </w:pPr>
      <w:r>
        <w:rPr>
          <w:rFonts w:hint="eastAsia" w:ascii="Times New Roman" w:hAnsi="Times New Roman" w:eastAsia="仿宋_GB2312" w:cs="Times New Roman"/>
          <w:b w:val="0"/>
          <w:bCs w:val="0"/>
          <w:color w:val="auto"/>
          <w:kern w:val="2"/>
          <w:sz w:val="32"/>
          <w:szCs w:val="32"/>
          <w:lang w:val="en-US" w:eastAsia="zh-CN" w:bidi="ar-SA"/>
        </w:rPr>
        <w:t>（4）根据预算绩效管理要求,本部门对</w:t>
      </w:r>
      <w:bookmarkStart w:id="2" w:name="OLE_LINK2"/>
      <w:r>
        <w:rPr>
          <w:rFonts w:hint="eastAsia" w:ascii="Times New Roman" w:hAnsi="Times New Roman" w:eastAsia="仿宋_GB2312" w:cs="Times New Roman"/>
          <w:b w:val="0"/>
          <w:bCs w:val="0"/>
          <w:color w:val="auto"/>
          <w:kern w:val="2"/>
          <w:sz w:val="32"/>
          <w:szCs w:val="32"/>
          <w:lang w:val="en-US" w:eastAsia="zh-CN" w:bidi="ar-SA"/>
        </w:rPr>
        <w:t>2023年度一般公共预算项目支出全面开展绩效自评,其中,一级项目4个，共涉及资金1661.93万元,占一般公共预算项目支出总额的11.29%。对2023年度0个政府性基金预算项目开展绩效自评,共涉及资金0万元,占政府性基金预算项目支出总额的%。组织对2023年度0个国有资本经营预算项目开展绩效自评,共涉及资金0万元,占国有资本经营预算项目支出总额的%。组织对2023年政策性森林保险项目、2023年古树名木复壮保护项目、张家川县云凤山省级森林公园勘界立标项目、张家川县历史遗留废弃矿山生态修复项目等4个项目开展了部门评价,涉及一般公共预算支出1661.93万元,政府性基金预算支出0万元,国有资本经营预算支出0万元。</w:t>
      </w:r>
      <w:bookmarkEnd w:id="2"/>
      <w:r>
        <w:rPr>
          <w:rFonts w:hint="eastAsia" w:ascii="Times New Roman" w:hAnsi="Times New Roman" w:eastAsia="仿宋_GB2312" w:cs="Times New Roman"/>
          <w:b w:val="0"/>
          <w:bCs w:val="0"/>
          <w:color w:val="auto"/>
          <w:kern w:val="2"/>
          <w:sz w:val="32"/>
          <w:szCs w:val="32"/>
          <w:lang w:val="en-US" w:eastAsia="zh-CN" w:bidi="ar-SA"/>
        </w:rPr>
        <w:t>从评价情况来看,根据年初设定的绩效目标，评得分为良。项目全年预算数为4204.01万元，完成预算的100%，绩效目标完成。</w:t>
      </w:r>
    </w:p>
    <w:p>
      <w:pPr>
        <w:widowControl/>
        <w:spacing w:line="560" w:lineRule="exact"/>
        <w:ind w:firstLine="643" w:firstLineChars="200"/>
        <w:jc w:val="left"/>
        <w:rPr>
          <w:rFonts w:hint="eastAsia" w:ascii="楷体_GB2312" w:hAnsi="仿宋_GB2312" w:eastAsia="楷体_GB2312" w:cs="Times New Roman"/>
          <w:b/>
          <w:kern w:val="0"/>
          <w:sz w:val="32"/>
          <w:szCs w:val="30"/>
          <w:lang w:val="en-US" w:eastAsia="zh-CN" w:bidi="ar-SA"/>
        </w:rPr>
      </w:pPr>
      <w:r>
        <w:rPr>
          <w:rFonts w:hint="eastAsia" w:ascii="楷体_GB2312" w:hAnsi="仿宋_GB2312" w:eastAsia="楷体_GB2312" w:cs="Times New Roman"/>
          <w:b/>
          <w:kern w:val="0"/>
          <w:sz w:val="32"/>
          <w:szCs w:val="30"/>
          <w:lang w:val="en-US" w:eastAsia="zh-CN" w:bidi="ar-SA"/>
        </w:rPr>
        <w:t>（二）结果应用情况</w:t>
      </w:r>
    </w:p>
    <w:p>
      <w:pPr>
        <w:pageBreakBefore w:val="0"/>
        <w:numPr>
          <w:ilvl w:val="0"/>
          <w:numId w:val="0"/>
        </w:numPr>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我部门在2023年度部门决算中反映2023年政策性森林保险项目、2023年古树名木复壮保护项目、张家川县云凤山省级森林公园勘界立标项目、张家川县历史遗留废弃矿山生态修复项目等4个项目绩效评价结果。</w:t>
      </w:r>
    </w:p>
    <w:p>
      <w:pPr>
        <w:pageBreakBefore w:val="0"/>
        <w:numPr>
          <w:ilvl w:val="0"/>
          <w:numId w:val="0"/>
        </w:numPr>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bookmarkStart w:id="3" w:name="OLE_LINK3"/>
      <w:r>
        <w:rPr>
          <w:rFonts w:hint="eastAsia" w:ascii="Times New Roman" w:hAnsi="Times New Roman" w:eastAsia="仿宋_GB2312" w:cs="Times New Roman"/>
          <w:b w:val="0"/>
          <w:bCs w:val="0"/>
          <w:color w:val="auto"/>
          <w:kern w:val="2"/>
          <w:sz w:val="32"/>
          <w:szCs w:val="32"/>
          <w:lang w:val="en-US" w:eastAsia="zh-CN" w:bidi="ar-SA"/>
        </w:rPr>
        <w:t>1.2023年政策性森林保险项目项目绩效自评情况：根据年初设定的绩效目标,项目绩效自评得分为100分。项目全年预算数为2.013万元,执行数为2.013万元,完成预算的100%。项目绩效目标完成情况：是全县公益林安全得到了有效保障，最大限度减少森林因自然灾害有所损失。发现的主要问题及原因：应对全县公益林做到应保尽保。下一步改进措施：建议实施长效管理机制。</w:t>
      </w:r>
    </w:p>
    <w:p>
      <w:pPr>
        <w:pageBreakBefore w:val="0"/>
        <w:numPr>
          <w:ilvl w:val="0"/>
          <w:numId w:val="0"/>
        </w:numPr>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2.2023年古树名木复壮保护项目绩效自评情况：根据年初设定的绩效目标,项目绩效自评得分为100分。项目全年预算数为10万元,执行数为9.36万元,完成预算的93.6%。项目绩效目标完成情况：一是通过实施古树名木保护对濒危和病弱古树名木实施保护复壮延长成活时间；二是保护我县林木种质资源等。发现的主要问题及原因：古树名木保护资金偏低，致使全县古树名木保护进度较慢。下一步改进措施：建议提高古树名木保护资金额度，更好完成古树名木保护工作。</w:t>
      </w:r>
    </w:p>
    <w:p>
      <w:pPr>
        <w:pageBreakBefore w:val="0"/>
        <w:numPr>
          <w:ilvl w:val="0"/>
          <w:numId w:val="0"/>
        </w:numPr>
        <w:kinsoku/>
        <w:wordWrap/>
        <w:overflowPunct/>
        <w:topLinePunct w:val="0"/>
        <w:autoSpaceDE/>
        <w:autoSpaceDN/>
        <w:bidi w:val="0"/>
        <w:adjustRightInd/>
        <w:snapToGrid/>
        <w:spacing w:beforeAutospacing="0" w:line="576" w:lineRule="exact"/>
        <w:ind w:firstLine="640" w:firstLineChars="200"/>
        <w:jc w:val="left"/>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3.张家川县云凤山省级森林公园勘界立标项目绩效自评情况：</w:t>
      </w:r>
      <w:bookmarkStart w:id="4" w:name="OLE_LINK16"/>
      <w:r>
        <w:rPr>
          <w:rFonts w:hint="eastAsia" w:ascii="Times New Roman" w:hAnsi="Times New Roman" w:eastAsia="仿宋_GB2312" w:cs="Times New Roman"/>
          <w:b w:val="0"/>
          <w:bCs w:val="0"/>
          <w:color w:val="auto"/>
          <w:kern w:val="2"/>
          <w:sz w:val="32"/>
          <w:szCs w:val="32"/>
          <w:lang w:val="en-US" w:eastAsia="zh-CN" w:bidi="ar-SA"/>
        </w:rPr>
        <w:t>根据年初设定的绩效目标,项目绩效自评得分为100分。项目全年预算数为20万元,执行数为20万元,完成预算的100%。</w:t>
      </w:r>
      <w:bookmarkEnd w:id="4"/>
      <w:r>
        <w:rPr>
          <w:rFonts w:hint="eastAsia" w:ascii="Times New Roman" w:hAnsi="Times New Roman" w:eastAsia="仿宋_GB2312" w:cs="Times New Roman"/>
          <w:b w:val="0"/>
          <w:bCs w:val="0"/>
          <w:color w:val="auto"/>
          <w:kern w:val="2"/>
          <w:sz w:val="32"/>
          <w:szCs w:val="32"/>
          <w:lang w:val="en-US" w:eastAsia="zh-CN" w:bidi="ar-SA"/>
        </w:rPr>
        <w:t>项目绩效目标完成情况：完成云凤山省级公园整合优化方案及数据库的建立。发现的主要问题及原因：群众对省级森林公园缺乏保护意识。下一步改进措施：建议加大宣传，提高群众对森林公园自然资源保护意识。</w:t>
      </w:r>
    </w:p>
    <w:p>
      <w:pPr>
        <w:keepNext/>
        <w:keepLines/>
        <w:pageBreakBefore w:val="0"/>
        <w:suppressLineNumbers/>
        <w:kinsoku/>
        <w:wordWrap/>
        <w:overflowPunct/>
        <w:topLinePunct w:val="0"/>
        <w:autoSpaceDE/>
        <w:autoSpaceDN/>
        <w:bidi w:val="0"/>
        <w:adjustRightInd/>
        <w:snapToGrid/>
        <w:spacing w:beforeAutospacing="0" w:line="576" w:lineRule="exact"/>
        <w:ind w:firstLine="640" w:firstLineChars="200"/>
        <w:jc w:val="both"/>
        <w:textAlignment w:val="auto"/>
        <w:rPr>
          <w:rFonts w:hint="default" w:ascii="宋体" w:hAnsi="宋体"/>
          <w:color w:val="000000"/>
          <w:kern w:val="0"/>
          <w:sz w:val="24"/>
          <w:szCs w:val="24"/>
          <w:lang w:val="en-US" w:eastAsia="zh-CN"/>
        </w:rPr>
      </w:pPr>
      <w:r>
        <w:rPr>
          <w:rFonts w:hint="eastAsia" w:ascii="Times New Roman" w:hAnsi="Times New Roman" w:eastAsia="仿宋_GB2312" w:cs="Times New Roman"/>
          <w:b w:val="0"/>
          <w:bCs w:val="0"/>
          <w:color w:val="auto"/>
          <w:kern w:val="2"/>
          <w:sz w:val="32"/>
          <w:szCs w:val="32"/>
          <w:lang w:val="en-US" w:eastAsia="zh-CN" w:bidi="ar-SA"/>
        </w:rPr>
        <w:t>4.张家川县历史遗留废弃矿山生态修复项目绩效自评情况：根据年初设定的绩效目标,项目绩效自评得分为100分。项目全年预算数为2000万元,执行数为1630.55万元,完成预算的81.53%。项目绩效目标完成情况：涉及公路沿线5乡镇，切实改善天庄公路张家川段沿线地质环境，最大限度对破坏的地形地貌、裸露岩土体、废弃斑块地完成有效恢复，使水源涵养能力不断提高，生态环境得到显著改善。发现的主要问题及原因：应对废弃矿山做到及时有效生态恢复。下一步改进措施：建议实施长效管理机制。</w:t>
      </w:r>
    </w:p>
    <w:bookmarkEnd w:id="3"/>
    <w:p>
      <w:pPr>
        <w:widowControl w:val="0"/>
        <w:snapToGrid w:val="0"/>
        <w:spacing w:line="560" w:lineRule="exact"/>
        <w:ind w:firstLine="640" w:firstLineChars="200"/>
        <w:rPr>
          <w:rFonts w:hint="eastAsia" w:ascii="黑体" w:hAnsi="仿宋_GB2312" w:eastAsia="黑体" w:cs="Times New Roman"/>
          <w:kern w:val="0"/>
          <w:sz w:val="32"/>
          <w:szCs w:val="30"/>
          <w:lang w:val="en-US" w:eastAsia="zh-CN" w:bidi="ar-SA"/>
        </w:rPr>
      </w:pPr>
      <w:r>
        <w:rPr>
          <w:rFonts w:hint="eastAsia" w:ascii="黑体" w:hAnsi="仿宋_GB2312" w:eastAsia="黑体" w:cs="Times New Roman"/>
          <w:kern w:val="0"/>
          <w:sz w:val="32"/>
          <w:szCs w:val="30"/>
          <w:lang w:val="en-US" w:eastAsia="zh-CN" w:bidi="ar-SA"/>
        </w:rPr>
        <w:t>四、评价结论及建议</w:t>
      </w:r>
    </w:p>
    <w:p>
      <w:pPr>
        <w:widowControl/>
        <w:spacing w:line="560" w:lineRule="exact"/>
        <w:ind w:firstLine="643" w:firstLineChars="200"/>
        <w:jc w:val="left"/>
        <w:rPr>
          <w:rFonts w:hint="default" w:ascii="楷体_GB2312" w:hAnsi="仿宋_GB2312" w:eastAsia="楷体_GB2312" w:cs="Times New Roman"/>
          <w:b/>
          <w:kern w:val="0"/>
          <w:sz w:val="32"/>
          <w:szCs w:val="30"/>
          <w:lang w:val="en-US" w:eastAsia="zh-CN" w:bidi="ar-SA"/>
        </w:rPr>
      </w:pPr>
      <w:r>
        <w:rPr>
          <w:rFonts w:hint="eastAsia" w:ascii="楷体_GB2312" w:hAnsi="仿宋_GB2312" w:eastAsia="楷体_GB2312" w:cs="Times New Roman"/>
          <w:b/>
          <w:kern w:val="0"/>
          <w:sz w:val="32"/>
          <w:szCs w:val="30"/>
          <w:lang w:val="en-US" w:eastAsia="zh-CN" w:bidi="ar-SA"/>
        </w:rPr>
        <w:t>（一）评价结论</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line="576"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我单位部门整体支出绩效评价等级为良</w:t>
      </w:r>
    </w:p>
    <w:p>
      <w:pPr>
        <w:widowControl/>
        <w:spacing w:line="560" w:lineRule="exact"/>
        <w:ind w:firstLine="643" w:firstLineChars="200"/>
        <w:jc w:val="left"/>
        <w:rPr>
          <w:rFonts w:hint="default" w:ascii="楷体_GB2312" w:hAnsi="仿宋_GB2312" w:eastAsia="楷体_GB2312" w:cs="Times New Roman"/>
          <w:b/>
          <w:kern w:val="0"/>
          <w:sz w:val="32"/>
          <w:szCs w:val="30"/>
          <w:lang w:val="en-US" w:eastAsia="zh-CN" w:bidi="ar-SA"/>
        </w:rPr>
      </w:pPr>
      <w:r>
        <w:rPr>
          <w:rFonts w:hint="eastAsia" w:ascii="楷体_GB2312" w:hAnsi="仿宋_GB2312" w:eastAsia="楷体_GB2312" w:cs="Times New Roman"/>
          <w:b/>
          <w:kern w:val="0"/>
          <w:sz w:val="32"/>
          <w:szCs w:val="30"/>
          <w:lang w:val="en-US" w:eastAsia="zh-CN" w:bidi="ar-SA"/>
        </w:rPr>
        <w:t>（二）存在问题</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1、预算编制工作有待细化。预算编制不够明确和细化，预算编制的合理性需要提高。追加预算较多，预算执行力度还要进一步加强</w:t>
      </w:r>
      <w:r>
        <w:rPr>
          <w:rFonts w:hint="eastAsia" w:ascii="Times New Roman" w:hAnsi="Times New Roman" w:eastAsia="仿宋_GB2312" w:cs="Times New Roman"/>
          <w:b w:val="0"/>
          <w:bCs w:val="0"/>
          <w:color w:val="auto"/>
          <w:kern w:val="2"/>
          <w:sz w:val="32"/>
          <w:szCs w:val="32"/>
          <w:lang w:val="en-US" w:eastAsia="zh-CN" w:bidi="ar-SA"/>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2、财务工作水平有待提高。财务工作按部就班，缺乏创新，在精度和深度上欠缺，还需要进一步完善，尤其是在政府采购、固定资产管理方面还需要进一步严格。</w:t>
      </w:r>
    </w:p>
    <w:p>
      <w:pPr>
        <w:widowControl/>
        <w:spacing w:line="560" w:lineRule="exact"/>
        <w:ind w:firstLine="643" w:firstLineChars="200"/>
        <w:jc w:val="left"/>
        <w:rPr>
          <w:rFonts w:hint="default" w:ascii="楷体_GB2312" w:hAnsi="仿宋_GB2312" w:eastAsia="楷体_GB2312" w:cs="Times New Roman"/>
          <w:b/>
          <w:kern w:val="0"/>
          <w:sz w:val="32"/>
          <w:szCs w:val="30"/>
          <w:lang w:val="en-US" w:eastAsia="zh-CN" w:bidi="ar-SA"/>
        </w:rPr>
      </w:pPr>
      <w:r>
        <w:rPr>
          <w:rFonts w:hint="eastAsia" w:ascii="楷体_GB2312" w:hAnsi="仿宋_GB2312" w:eastAsia="楷体_GB2312" w:cs="Times New Roman"/>
          <w:b/>
          <w:kern w:val="0"/>
          <w:sz w:val="32"/>
          <w:szCs w:val="30"/>
          <w:lang w:val="en-US" w:eastAsia="zh-CN" w:bidi="ar-SA"/>
        </w:rPr>
        <w:t>（三）改进建议</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针对存在的问题及收入支出管理工作的需要，拟实施的改进措施如下:</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细化预算编制工作，认真做好预算的编制。进一步加强单位内部统计业务工作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7"/>
        <w:keepNext w:val="0"/>
        <w:keepLines w:val="0"/>
        <w:pageBreakBefore w:val="0"/>
        <w:widowControl w:val="0"/>
        <w:kinsoku/>
        <w:wordWrap/>
        <w:overflowPunct/>
        <w:topLinePunct w:val="0"/>
        <w:autoSpaceDE/>
        <w:autoSpaceDN/>
        <w:bidi w:val="0"/>
        <w:adjustRightInd/>
        <w:snapToGrid/>
        <w:spacing w:before="0" w:beforeAutospacing="0" w:after="0" w:line="576"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7"/>
        <w:pageBreakBefore w:val="0"/>
        <w:numPr>
          <w:ilvl w:val="0"/>
          <w:numId w:val="0"/>
        </w:numPr>
        <w:kinsoku/>
        <w:wordWrap/>
        <w:overflowPunct/>
        <w:topLinePunct w:val="0"/>
        <w:autoSpaceDE/>
        <w:autoSpaceDN/>
        <w:bidi w:val="0"/>
        <w:adjustRightInd/>
        <w:snapToGrid/>
        <w:spacing w:before="0" w:beforeAutospacing="0" w:after="0" w:line="576"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完善资产管理，抓好“三公”经费控制。严格编制政府采购年初预算和计划，规范各类资产的购置审批制度、资产采购制度、使用管理制度、资产处置和报废审批制度、资产管理岗位职责制度等，加强单位内部的资产管理工作。</w:t>
      </w:r>
    </w:p>
    <w:p>
      <w:pPr>
        <w:pStyle w:val="7"/>
        <w:pageBreakBefore w:val="0"/>
        <w:numPr>
          <w:ilvl w:val="0"/>
          <w:numId w:val="0"/>
        </w:numPr>
        <w:kinsoku/>
        <w:wordWrap/>
        <w:overflowPunct/>
        <w:topLinePunct w:val="0"/>
        <w:autoSpaceDE/>
        <w:autoSpaceDN/>
        <w:bidi w:val="0"/>
        <w:adjustRightInd/>
        <w:snapToGrid/>
        <w:spacing w:before="0" w:beforeAutospacing="0" w:after="0" w:line="576" w:lineRule="exact"/>
        <w:ind w:firstLine="640" w:firstLineChars="200"/>
        <w:textAlignment w:val="auto"/>
        <w:rPr>
          <w:rFonts w:hint="eastAsia" w:ascii="Times New Roman" w:hAnsi="Times New Roman" w:eastAsia="仿宋_GB2312" w:cs="Times New Roman"/>
          <w:b w:val="0"/>
          <w:bCs w:val="0"/>
          <w:color w:val="auto"/>
          <w:kern w:val="2"/>
          <w:sz w:val="32"/>
          <w:szCs w:val="32"/>
          <w:lang w:val="zh-CN" w:eastAsia="zh-CN" w:bidi="ar-SA"/>
        </w:rPr>
      </w:pPr>
    </w:p>
    <w:p>
      <w:pPr>
        <w:pStyle w:val="7"/>
        <w:ind w:left="0" w:leftChars="0" w:firstLine="0" w:firstLineChars="0"/>
        <w:jc w:val="both"/>
        <w:rPr>
          <w:rFonts w:hint="default" w:asciiTheme="majorEastAsia" w:hAnsiTheme="majorEastAsia" w:eastAsiaTheme="majorEastAsia" w:cstheme="majorEastAsia"/>
          <w:sz w:val="44"/>
          <w:szCs w:val="44"/>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NDU0MWMzNzRiYjM5ZWM5YjNlMjQ0YTc5NmYyYWIifQ=="/>
  </w:docVars>
  <w:rsids>
    <w:rsidRoot w:val="00000000"/>
    <w:rsid w:val="063A3EAC"/>
    <w:rsid w:val="2F6A65FB"/>
    <w:rsid w:val="36421DDD"/>
    <w:rsid w:val="3B4973B7"/>
    <w:rsid w:val="709C0816"/>
    <w:rsid w:val="721D4124"/>
    <w:rsid w:val="75177650"/>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beforeLines="50" w:afterLines="50"/>
      <w:ind w:firstLine="480"/>
    </w:pPr>
    <w:rPr>
      <w:sz w:val="24"/>
    </w:rPr>
  </w:style>
  <w:style w:type="paragraph" w:styleId="3">
    <w:name w:val="Body Text Indent 2"/>
    <w:basedOn w:val="1"/>
    <w:qFormat/>
    <w:uiPriority w:val="0"/>
    <w:pPr>
      <w:spacing w:line="480" w:lineRule="auto"/>
      <w:ind w:left="420" w:leftChars="20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Body Text Indent 21"/>
    <w:basedOn w:val="1"/>
    <w:qFormat/>
    <w:uiPriority w:val="0"/>
    <w:pPr>
      <w:spacing w:before="100" w:beforeAutospacing="1" w:after="120" w:line="480" w:lineRule="auto"/>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6.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0.xml"/><Relationship Id="rId12" Type="http://schemas.openxmlformats.org/officeDocument/2006/relationships/customXml" Target="../customXml/item9.xml"/><Relationship Id="rId11" Type="http://schemas.openxmlformats.org/officeDocument/2006/relationships/customXml" Target="../customXml/item8.xml"/><Relationship Id="rId10" Type="http://schemas.openxmlformats.org/officeDocument/2006/relationships/customXml" Target="../customXml/item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2024-08-20T02:55:27Z</dcterms:modified>
  <cp:revision>1</cp:revision>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7184</Words>
  <Characters>19289</Characters>
  <Lines>0</Lines>
  <Paragraphs>0</Paragraphs>
  <TotalTime>7</TotalTime>
  <ScaleCrop>false</ScaleCrop>
  <LinksUpToDate>false</LinksUpToDate>
  <CharactersWithSpaces>19293</CharactersWithSpaces>
  <Application>WPS Office_11.1.0.12980_F1E327BC-269C-435d-A152-05C5408002CA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admin</cp:lastModifiedBy>
  <dcterms:modified xsi:type="dcterms:W3CDTF">2024-08-20T02:55:27Z</dcterms:modified>
  <cp:revision>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wstr>2052-11.1.0.12980</vt:lpwstr>
  </property>
  <property fmtid="{D5CDD505-2E9C-101B-9397-08002B2CF9AE}" pid="3" name="ICV">
    <vt:lpwstr>E06D266F13EA4024808CEEADBAD91186_11</vt:lpwstr>
  </property>
</Properties>
</file>

<file path=customXml/item6.xml><?xml version="1.0" encoding="utf-8"?>
<Properties xmlns:vt="http://schemas.openxmlformats.org/officeDocument/2006/docPropsVTypes" xmlns="http://schemas.openxmlformats.org/officeDocument/2006/extended-properties">
  <Template>Normal.dotm</Template>
  <TotalTime>7</TotalTime>
  <Pages>15</Pages>
  <Words>7184</Words>
  <Characters>19289</Characters>
  <Application>WPS Office_11.1.0.12980_F1E327BC-269C-435d-A152-05C5408002CA</Application>
  <DocSecurity>0</DocSecurity>
  <Lines>0</Lines>
  <Paragraphs>0</Paragraphs>
  <CharactersWithSpaces>19293</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O.L.Problem without you</dc:creator>
  <cp:lastModifiedBy>admin</cp:lastModifiedBy>
  <cp:revision>1</cp:revision>
  <dcterms:created xsi:type="dcterms:W3CDTF">2023-07-20T03:33:00Z</dcterms:created>
  <dcterms:modified xsi:type="dcterms:W3CDTF">2024-08-20T02:55:27Z</dcterms:modified>
</cp:core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E06D266F13EA4024808CEEADBAD91186_11</vt:lpwstr>
  </property>
</Properties>
</file>

<file path=customXml/item9.xml><?xml version="1.0" encoding="utf-8"?>
<Properties xmlns="http://schemas.openxmlformats.org/officeDocument/2006/extended-properties" xmlns:vt="http://schemas.openxmlformats.org/officeDocument/2006/docPropsVTypes">
  <Template>Normal.dotm</Template>
  <Pages>15</Pages>
  <Words>7184</Words>
  <Characters>19289</Characters>
  <Lines>0</Lines>
  <Paragraphs>0</Paragraphs>
  <TotalTime>7</TotalTime>
  <ScaleCrop>false</ScaleCrop>
  <LinksUpToDate>false</LinksUpToDate>
  <CharactersWithSpaces>19293</CharactersWithSpaces>
  <Application>WPS Office_11.1.0.12980_F1E327BC-269C-435d-A152-05C5408002CA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a1a9673-4ca0-4d27-af10-979bc459f5a7}">
  <ds:schemaRefs/>
</ds:datastoreItem>
</file>

<file path=customXml/itemProps2.xml><?xml version="1.0" encoding="utf-8"?>
<ds:datastoreItem xmlns:ds="http://schemas.openxmlformats.org/officeDocument/2006/customXml" ds:itemID="{7fdc3d9d-19c6-474f-b310-ded7a2608336}">
  <ds:schemaRefs/>
</ds:datastoreItem>
</file>

<file path=customXml/itemProps3.xml><?xml version="1.0" encoding="utf-8"?>
<ds:datastoreItem xmlns:ds="http://schemas.openxmlformats.org/officeDocument/2006/customXml" ds:itemID="{5891b399-3cfe-4552-8a3c-06aa86b68e5a}">
  <ds:schemaRefs/>
</ds:datastoreItem>
</file>

<file path=customXml/itemProps4.xml><?xml version="1.0" encoding="utf-8"?>
<ds:datastoreItem xmlns:ds="http://schemas.openxmlformats.org/officeDocument/2006/customXml" ds:itemID="{7998edda-abea-40e6-bbac-8586cea91a96}">
  <ds:schemaRefs/>
</ds:datastoreItem>
</file>

<file path=customXml/itemProps5.xml><?xml version="1.0" encoding="utf-8"?>
<ds:datastoreItem xmlns:ds="http://schemas.openxmlformats.org/officeDocument/2006/customXml" ds:itemID="{4176043c-d58d-45df-b951-a3d3930f32b4}">
  <ds:schemaRefs/>
</ds:datastoreItem>
</file>

<file path=customXml/itemProps6.xml><?xml version="1.0" encoding="utf-8"?>
<ds:datastoreItem xmlns:ds="http://schemas.openxmlformats.org/officeDocument/2006/customXml" ds:itemID="{98011d3c-9424-4044-a553-8fbdc5d130f4}">
  <ds:schemaRefs/>
</ds:datastoreItem>
</file>

<file path=customXml/itemProps7.xml><?xml version="1.0" encoding="utf-8"?>
<ds:datastoreItem xmlns:ds="http://schemas.openxmlformats.org/officeDocument/2006/customXml" ds:itemID="{54e311c6-dafe-428a-b25d-d38b5c25ad1e}">
  <ds:schemaRefs/>
</ds:datastoreItem>
</file>

<file path=customXml/itemProps8.xml><?xml version="1.0" encoding="utf-8"?>
<ds:datastoreItem xmlns:ds="http://schemas.openxmlformats.org/officeDocument/2006/customXml" ds:itemID="{0509a21b-b712-40c9-8272-7cc6f2740697}">
  <ds:schemaRefs/>
</ds:datastoreItem>
</file>

<file path=customXml/itemProps9.xml><?xml version="1.0" encoding="utf-8"?>
<ds:datastoreItem xmlns:ds="http://schemas.openxmlformats.org/officeDocument/2006/customXml" ds:itemID="{70c15fe1-b5f5-4641-977d-b258636c316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7184</Words>
  <Characters>19289</Characters>
  <Lines>0</Lines>
  <Paragraphs>0</Paragraphs>
  <TotalTime>26</TotalTime>
  <ScaleCrop>false</ScaleCrop>
  <LinksUpToDate>false</LinksUpToDate>
  <CharactersWithSpaces>19293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2023-07-20T03:33:00Z</dcterms:created>
  <dc:creator>O.L.Problem without you</dc:creator>
  <cp:lastModifiedBy>呆瓜</cp:lastModifiedBy>
  <cp:lastPrinted>2024-09-19T08:38:00Z</cp:lastPrinted>
  <dcterms:modified xsi:type="dcterms:W3CDTF">2024-09-20T02:33:47Z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E06D266F13EA4024808CEEADBAD91186_11</vt:lpwstr>
  </property>
</Properties>
</file>