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89" w:type="dxa"/>
        <w:jc w:val="center"/>
        <w:tblLayout w:type="fixed"/>
        <w:tblLook w:val="0000" w:firstRow="0" w:lastRow="0" w:firstColumn="0" w:lastColumn="0" w:noHBand="0" w:noVBand="0"/>
      </w:tblPr>
      <w:tblGrid>
        <w:gridCol w:w="540"/>
        <w:gridCol w:w="931"/>
        <w:gridCol w:w="1118"/>
        <w:gridCol w:w="899"/>
        <w:gridCol w:w="960"/>
        <w:gridCol w:w="1129"/>
        <w:gridCol w:w="655"/>
        <w:gridCol w:w="655"/>
        <w:gridCol w:w="655"/>
        <w:gridCol w:w="656"/>
        <w:gridCol w:w="2231"/>
        <w:gridCol w:w="3660"/>
      </w:tblGrid>
      <w:tr w:rsidR="00A427EE" w14:paraId="1D901555" w14:textId="77777777" w:rsidTr="003B465A">
        <w:trPr>
          <w:trHeight w:val="704"/>
          <w:jc w:val="center"/>
        </w:trPr>
        <w:tc>
          <w:tcPr>
            <w:tcW w:w="1443" w:type="dxa"/>
            <w:gridSpan w:val="2"/>
            <w:tcBorders>
              <w:top w:val="nil"/>
              <w:left w:val="nil"/>
              <w:bottom w:val="nil"/>
              <w:right w:val="nil"/>
            </w:tcBorders>
            <w:noWrap/>
            <w:vAlign w:val="center"/>
          </w:tcPr>
          <w:p w14:paraId="09CA6C13" w14:textId="77777777" w:rsidR="00A427EE" w:rsidRDefault="00A427EE" w:rsidP="003B465A">
            <w:pPr>
              <w:widowControl/>
              <w:jc w:val="left"/>
              <w:textAlignment w:val="center"/>
              <w:rPr>
                <w:rFonts w:ascii="Times New Roman" w:eastAsia="黑体" w:hAnsi="Times New Roman"/>
                <w:color w:val="000000"/>
                <w:szCs w:val="32"/>
              </w:rPr>
            </w:pPr>
            <w:r>
              <w:rPr>
                <w:rFonts w:ascii="Times New Roman" w:eastAsia="黑体" w:hAnsi="Times New Roman"/>
                <w:color w:val="000000"/>
                <w:kern w:val="0"/>
                <w:szCs w:val="32"/>
                <w:lang w:bidi="ar"/>
              </w:rPr>
              <w:t>附件</w:t>
            </w:r>
            <w:r>
              <w:rPr>
                <w:rFonts w:ascii="Times New Roman" w:eastAsia="黑体" w:hAnsi="Times New Roman"/>
                <w:color w:val="000000"/>
                <w:kern w:val="0"/>
                <w:szCs w:val="32"/>
                <w:lang w:bidi="ar"/>
              </w:rPr>
              <w:t>2</w:t>
            </w:r>
          </w:p>
        </w:tc>
        <w:tc>
          <w:tcPr>
            <w:tcW w:w="1099" w:type="dxa"/>
            <w:tcBorders>
              <w:top w:val="nil"/>
              <w:left w:val="nil"/>
              <w:bottom w:val="nil"/>
              <w:right w:val="nil"/>
            </w:tcBorders>
            <w:noWrap/>
            <w:vAlign w:val="center"/>
          </w:tcPr>
          <w:p w14:paraId="35A0D51E" w14:textId="77777777" w:rsidR="00A427EE" w:rsidRDefault="00A427EE" w:rsidP="003B465A">
            <w:pPr>
              <w:jc w:val="center"/>
              <w:rPr>
                <w:rFonts w:ascii="Times New Roman" w:eastAsia="宋体" w:hAnsi="Times New Roman"/>
                <w:color w:val="000000"/>
                <w:sz w:val="20"/>
              </w:rPr>
            </w:pPr>
          </w:p>
        </w:tc>
        <w:tc>
          <w:tcPr>
            <w:tcW w:w="884" w:type="dxa"/>
            <w:tcBorders>
              <w:top w:val="nil"/>
              <w:left w:val="nil"/>
              <w:bottom w:val="nil"/>
              <w:right w:val="nil"/>
            </w:tcBorders>
            <w:noWrap/>
            <w:vAlign w:val="center"/>
          </w:tcPr>
          <w:p w14:paraId="761CACEC" w14:textId="77777777" w:rsidR="00A427EE" w:rsidRDefault="00A427EE" w:rsidP="003B465A">
            <w:pPr>
              <w:jc w:val="center"/>
              <w:rPr>
                <w:rFonts w:ascii="Times New Roman" w:eastAsia="宋体" w:hAnsi="Times New Roman"/>
                <w:color w:val="000000"/>
                <w:sz w:val="20"/>
              </w:rPr>
            </w:pPr>
          </w:p>
        </w:tc>
        <w:tc>
          <w:tcPr>
            <w:tcW w:w="944" w:type="dxa"/>
            <w:tcBorders>
              <w:top w:val="nil"/>
              <w:left w:val="nil"/>
              <w:bottom w:val="nil"/>
              <w:right w:val="nil"/>
            </w:tcBorders>
            <w:noWrap/>
            <w:vAlign w:val="center"/>
          </w:tcPr>
          <w:p w14:paraId="4522CF72" w14:textId="77777777" w:rsidR="00A427EE" w:rsidRDefault="00A427EE" w:rsidP="003B465A">
            <w:pPr>
              <w:jc w:val="center"/>
              <w:rPr>
                <w:rFonts w:ascii="Times New Roman" w:eastAsia="宋体" w:hAnsi="Times New Roman"/>
                <w:color w:val="000000"/>
                <w:sz w:val="20"/>
              </w:rPr>
            </w:pPr>
          </w:p>
        </w:tc>
        <w:tc>
          <w:tcPr>
            <w:tcW w:w="1110" w:type="dxa"/>
            <w:tcBorders>
              <w:top w:val="nil"/>
              <w:left w:val="nil"/>
              <w:bottom w:val="nil"/>
              <w:right w:val="nil"/>
            </w:tcBorders>
            <w:noWrap/>
            <w:vAlign w:val="center"/>
          </w:tcPr>
          <w:p w14:paraId="637D300A" w14:textId="77777777" w:rsidR="00A427EE" w:rsidRDefault="00A427EE" w:rsidP="003B465A">
            <w:pPr>
              <w:jc w:val="center"/>
              <w:rPr>
                <w:rFonts w:ascii="Times New Roman" w:eastAsia="宋体" w:hAnsi="Times New Roman"/>
                <w:color w:val="000000"/>
                <w:sz w:val="20"/>
              </w:rPr>
            </w:pPr>
          </w:p>
        </w:tc>
        <w:tc>
          <w:tcPr>
            <w:tcW w:w="644" w:type="dxa"/>
            <w:tcBorders>
              <w:top w:val="nil"/>
              <w:left w:val="nil"/>
              <w:bottom w:val="nil"/>
              <w:right w:val="nil"/>
            </w:tcBorders>
            <w:noWrap/>
            <w:vAlign w:val="center"/>
          </w:tcPr>
          <w:p w14:paraId="54A8D17D" w14:textId="77777777" w:rsidR="00A427EE" w:rsidRDefault="00A427EE" w:rsidP="003B465A">
            <w:pPr>
              <w:jc w:val="center"/>
              <w:rPr>
                <w:rFonts w:ascii="Times New Roman" w:eastAsia="宋体" w:hAnsi="Times New Roman"/>
                <w:color w:val="000000"/>
                <w:sz w:val="20"/>
              </w:rPr>
            </w:pPr>
          </w:p>
        </w:tc>
        <w:tc>
          <w:tcPr>
            <w:tcW w:w="644" w:type="dxa"/>
            <w:tcBorders>
              <w:top w:val="nil"/>
              <w:left w:val="nil"/>
              <w:bottom w:val="nil"/>
              <w:right w:val="nil"/>
            </w:tcBorders>
            <w:noWrap/>
            <w:vAlign w:val="center"/>
          </w:tcPr>
          <w:p w14:paraId="6B798ACA" w14:textId="77777777" w:rsidR="00A427EE" w:rsidRDefault="00A427EE" w:rsidP="003B465A">
            <w:pPr>
              <w:jc w:val="center"/>
              <w:rPr>
                <w:rFonts w:ascii="Times New Roman" w:eastAsia="宋体" w:hAnsi="Times New Roman"/>
                <w:color w:val="000000"/>
                <w:sz w:val="20"/>
              </w:rPr>
            </w:pPr>
          </w:p>
        </w:tc>
        <w:tc>
          <w:tcPr>
            <w:tcW w:w="644" w:type="dxa"/>
            <w:tcBorders>
              <w:top w:val="nil"/>
              <w:left w:val="nil"/>
              <w:bottom w:val="nil"/>
              <w:right w:val="nil"/>
            </w:tcBorders>
            <w:noWrap/>
            <w:vAlign w:val="center"/>
          </w:tcPr>
          <w:p w14:paraId="30CE542E" w14:textId="77777777" w:rsidR="00A427EE" w:rsidRDefault="00A427EE" w:rsidP="003B465A">
            <w:pPr>
              <w:jc w:val="center"/>
              <w:rPr>
                <w:rFonts w:ascii="Times New Roman" w:eastAsia="宋体" w:hAnsi="Times New Roman"/>
                <w:color w:val="000000"/>
                <w:sz w:val="20"/>
              </w:rPr>
            </w:pPr>
          </w:p>
        </w:tc>
        <w:tc>
          <w:tcPr>
            <w:tcW w:w="644" w:type="dxa"/>
            <w:tcBorders>
              <w:top w:val="nil"/>
              <w:left w:val="nil"/>
              <w:bottom w:val="nil"/>
              <w:right w:val="nil"/>
            </w:tcBorders>
            <w:noWrap/>
            <w:vAlign w:val="center"/>
          </w:tcPr>
          <w:p w14:paraId="768038A8" w14:textId="77777777" w:rsidR="00A427EE" w:rsidRDefault="00A427EE" w:rsidP="003B465A">
            <w:pPr>
              <w:jc w:val="center"/>
              <w:rPr>
                <w:rFonts w:ascii="Times New Roman" w:eastAsia="宋体" w:hAnsi="Times New Roman"/>
                <w:color w:val="000000"/>
                <w:sz w:val="20"/>
              </w:rPr>
            </w:pPr>
          </w:p>
        </w:tc>
        <w:tc>
          <w:tcPr>
            <w:tcW w:w="2193" w:type="dxa"/>
            <w:tcBorders>
              <w:top w:val="nil"/>
              <w:left w:val="nil"/>
              <w:bottom w:val="nil"/>
              <w:right w:val="nil"/>
            </w:tcBorders>
            <w:noWrap/>
            <w:vAlign w:val="center"/>
          </w:tcPr>
          <w:p w14:paraId="300A7DF8" w14:textId="77777777" w:rsidR="00A427EE" w:rsidRDefault="00A427EE" w:rsidP="003B465A">
            <w:pPr>
              <w:jc w:val="center"/>
              <w:rPr>
                <w:rFonts w:ascii="Times New Roman" w:eastAsia="宋体" w:hAnsi="Times New Roman"/>
                <w:color w:val="000000"/>
                <w:sz w:val="20"/>
              </w:rPr>
            </w:pPr>
          </w:p>
        </w:tc>
        <w:tc>
          <w:tcPr>
            <w:tcW w:w="3598" w:type="dxa"/>
            <w:tcBorders>
              <w:top w:val="nil"/>
              <w:left w:val="nil"/>
              <w:bottom w:val="nil"/>
              <w:right w:val="nil"/>
            </w:tcBorders>
            <w:noWrap/>
            <w:vAlign w:val="center"/>
          </w:tcPr>
          <w:p w14:paraId="1D8F4D2A" w14:textId="77777777" w:rsidR="00A427EE" w:rsidRDefault="00A427EE" w:rsidP="003B465A">
            <w:pPr>
              <w:jc w:val="center"/>
              <w:rPr>
                <w:rFonts w:ascii="Times New Roman" w:eastAsia="宋体" w:hAnsi="Times New Roman"/>
                <w:color w:val="000000"/>
                <w:sz w:val="20"/>
              </w:rPr>
            </w:pPr>
          </w:p>
        </w:tc>
      </w:tr>
      <w:tr w:rsidR="00A427EE" w14:paraId="7DAD3E4B" w14:textId="77777777" w:rsidTr="003B465A">
        <w:trPr>
          <w:trHeight w:val="1185"/>
          <w:jc w:val="center"/>
        </w:trPr>
        <w:tc>
          <w:tcPr>
            <w:tcW w:w="13848" w:type="dxa"/>
            <w:gridSpan w:val="12"/>
            <w:tcBorders>
              <w:top w:val="nil"/>
              <w:left w:val="nil"/>
              <w:bottom w:val="nil"/>
              <w:right w:val="nil"/>
            </w:tcBorders>
            <w:vAlign w:val="center"/>
          </w:tcPr>
          <w:p w14:paraId="3B8F25E3" w14:textId="77777777" w:rsidR="00A427EE" w:rsidRDefault="00A427EE" w:rsidP="003B465A">
            <w:pPr>
              <w:widowControl/>
              <w:spacing w:line="576" w:lineRule="exact"/>
              <w:jc w:val="center"/>
              <w:textAlignment w:val="center"/>
              <w:rPr>
                <w:rFonts w:ascii="Times New Roman" w:eastAsia="方正小标宋_GBK" w:hAnsi="Times New Roman"/>
                <w:color w:val="000000"/>
                <w:sz w:val="44"/>
                <w:szCs w:val="44"/>
              </w:rPr>
            </w:pPr>
            <w:r>
              <w:rPr>
                <w:rFonts w:ascii="Times New Roman" w:eastAsia="方正小标宋_GBK" w:hAnsi="Times New Roman"/>
                <w:color w:val="000000"/>
                <w:kern w:val="0"/>
                <w:sz w:val="44"/>
                <w:szCs w:val="44"/>
                <w:lang w:bidi="ar"/>
              </w:rPr>
              <w:t>甘肃省地方层面设定的涉企经营许可事项改革清单（</w:t>
            </w:r>
            <w:r>
              <w:rPr>
                <w:rFonts w:ascii="Times New Roman" w:eastAsia="方正小标宋_GBK" w:hAnsi="Times New Roman"/>
                <w:color w:val="000000"/>
                <w:kern w:val="0"/>
                <w:sz w:val="44"/>
                <w:szCs w:val="44"/>
                <w:lang w:bidi="ar"/>
              </w:rPr>
              <w:t>2021</w:t>
            </w:r>
            <w:r>
              <w:rPr>
                <w:rFonts w:ascii="Times New Roman" w:eastAsia="方正小标宋_GBK" w:hAnsi="Times New Roman"/>
                <w:color w:val="000000"/>
                <w:kern w:val="0"/>
                <w:sz w:val="44"/>
                <w:szCs w:val="44"/>
                <w:lang w:bidi="ar"/>
              </w:rPr>
              <w:t>全省版）</w:t>
            </w:r>
            <w:r>
              <w:rPr>
                <w:rFonts w:ascii="Times New Roman" w:eastAsia="方正小标宋_GBK" w:hAnsi="Times New Roman"/>
                <w:color w:val="000000"/>
                <w:kern w:val="0"/>
                <w:sz w:val="44"/>
                <w:szCs w:val="44"/>
                <w:lang w:bidi="ar"/>
              </w:rPr>
              <w:br/>
            </w:r>
            <w:r>
              <w:rPr>
                <w:rFonts w:ascii="Times New Roman" w:eastAsia="楷体_GB2312" w:hAnsi="Times New Roman"/>
                <w:color w:val="000000"/>
                <w:kern w:val="0"/>
                <w:szCs w:val="32"/>
                <w:lang w:bidi="ar"/>
              </w:rPr>
              <w:t>（共</w:t>
            </w:r>
            <w:r>
              <w:rPr>
                <w:rFonts w:ascii="Times New Roman" w:eastAsia="楷体_GB2312" w:hAnsi="Times New Roman"/>
                <w:color w:val="000000"/>
                <w:kern w:val="0"/>
                <w:szCs w:val="32"/>
                <w:lang w:bidi="ar"/>
              </w:rPr>
              <w:t>7</w:t>
            </w:r>
            <w:r>
              <w:rPr>
                <w:rFonts w:ascii="Times New Roman" w:eastAsia="楷体_GB2312" w:hAnsi="Times New Roman"/>
                <w:color w:val="000000"/>
                <w:kern w:val="0"/>
                <w:szCs w:val="32"/>
                <w:lang w:bidi="ar"/>
              </w:rPr>
              <w:t>项）</w:t>
            </w:r>
          </w:p>
        </w:tc>
      </w:tr>
      <w:tr w:rsidR="00A427EE" w14:paraId="4D720AE0" w14:textId="77777777" w:rsidTr="003B465A">
        <w:trPr>
          <w:trHeight w:val="468"/>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A3BB25D"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序号</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368202"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主管部门</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267A0A"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改革事项</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24C060"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许可证</w:t>
            </w:r>
          </w:p>
          <w:p w14:paraId="70F50E8B"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件名称</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43BEB60"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设定依据</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C1858A"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审批层级和部门</w:t>
            </w:r>
          </w:p>
        </w:tc>
        <w:tc>
          <w:tcPr>
            <w:tcW w:w="25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02CB36E"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spacing w:val="20"/>
                <w:w w:val="80"/>
                <w:kern w:val="0"/>
                <w:sz w:val="19"/>
                <w:szCs w:val="19"/>
                <w:lang w:bidi="ar"/>
              </w:rPr>
              <w:t>改革方式</w:t>
            </w:r>
          </w:p>
        </w:tc>
        <w:tc>
          <w:tcPr>
            <w:tcW w:w="21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EC7AEC"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具体改革举措</w:t>
            </w:r>
          </w:p>
        </w:tc>
        <w:tc>
          <w:tcPr>
            <w:tcW w:w="359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348227"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加强事中事后监管措施</w:t>
            </w:r>
          </w:p>
        </w:tc>
      </w:tr>
      <w:tr w:rsidR="00A427EE" w14:paraId="29408809" w14:textId="77777777" w:rsidTr="003B465A">
        <w:trPr>
          <w:trHeight w:val="794"/>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18251E" w14:textId="77777777" w:rsidR="00A427EE" w:rsidRDefault="00A427EE" w:rsidP="003B465A">
            <w:pPr>
              <w:jc w:val="center"/>
              <w:rPr>
                <w:rFonts w:ascii="Times New Roman" w:eastAsia="宋体" w:hAnsi="Times New Roman"/>
                <w:b/>
                <w:bCs/>
                <w:color w:val="000000"/>
                <w:sz w:val="21"/>
                <w:szCs w:val="21"/>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54BF65" w14:textId="77777777" w:rsidR="00A427EE" w:rsidRDefault="00A427EE" w:rsidP="003B465A">
            <w:pPr>
              <w:jc w:val="center"/>
              <w:rPr>
                <w:rFonts w:ascii="Times New Roman" w:eastAsia="宋体" w:hAnsi="Times New Roman"/>
                <w:b/>
                <w:bCs/>
                <w:color w:val="000000"/>
                <w:sz w:val="21"/>
                <w:szCs w:val="21"/>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3F7B2E" w14:textId="77777777" w:rsidR="00A427EE" w:rsidRDefault="00A427EE" w:rsidP="003B465A">
            <w:pPr>
              <w:jc w:val="center"/>
              <w:rPr>
                <w:rFonts w:ascii="Times New Roman" w:eastAsia="宋体" w:hAnsi="Times New Roman"/>
                <w:b/>
                <w:bCs/>
                <w:color w:val="000000"/>
                <w:sz w:val="21"/>
                <w:szCs w:val="21"/>
              </w:rPr>
            </w:pPr>
          </w:p>
        </w:tc>
        <w:tc>
          <w:tcPr>
            <w:tcW w:w="8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65665C" w14:textId="77777777" w:rsidR="00A427EE" w:rsidRDefault="00A427EE" w:rsidP="003B465A">
            <w:pPr>
              <w:jc w:val="center"/>
              <w:rPr>
                <w:rFonts w:ascii="Times New Roman" w:eastAsia="宋体" w:hAnsi="Times New Roman"/>
                <w:b/>
                <w:bCs/>
                <w:color w:val="000000"/>
                <w:sz w:val="21"/>
                <w:szCs w:val="21"/>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149850" w14:textId="77777777" w:rsidR="00A427EE" w:rsidRDefault="00A427EE" w:rsidP="003B465A">
            <w:pPr>
              <w:jc w:val="center"/>
              <w:rPr>
                <w:rFonts w:ascii="Times New Roman" w:eastAsia="宋体" w:hAnsi="Times New Roman"/>
                <w:b/>
                <w:bCs/>
                <w:color w:val="000000"/>
                <w:sz w:val="21"/>
                <w:szCs w:val="21"/>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23F414" w14:textId="77777777" w:rsidR="00A427EE" w:rsidRDefault="00A427EE" w:rsidP="003B465A">
            <w:pPr>
              <w:jc w:val="center"/>
              <w:rPr>
                <w:rFonts w:ascii="Times New Roman" w:eastAsia="宋体" w:hAnsi="Times New Roman"/>
                <w:b/>
                <w:bCs/>
                <w:color w:val="000000"/>
                <w:sz w:val="21"/>
                <w:szCs w:val="21"/>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773E3"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直接取消审批</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5B663"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审批改为备案</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2D598"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实行告知承诺</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1C0E"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优化审批服务</w:t>
            </w:r>
          </w:p>
        </w:tc>
        <w:tc>
          <w:tcPr>
            <w:tcW w:w="21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F63E65" w14:textId="77777777" w:rsidR="00A427EE" w:rsidRDefault="00A427EE" w:rsidP="003B465A">
            <w:pPr>
              <w:jc w:val="center"/>
              <w:rPr>
                <w:rFonts w:ascii="Times New Roman" w:eastAsia="宋体" w:hAnsi="Times New Roman"/>
                <w:b/>
                <w:bCs/>
                <w:color w:val="000000"/>
                <w:sz w:val="20"/>
              </w:rPr>
            </w:pPr>
          </w:p>
        </w:tc>
        <w:tc>
          <w:tcPr>
            <w:tcW w:w="35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C48574" w14:textId="77777777" w:rsidR="00A427EE" w:rsidRDefault="00A427EE" w:rsidP="003B465A">
            <w:pPr>
              <w:jc w:val="center"/>
              <w:rPr>
                <w:rFonts w:ascii="Times New Roman" w:eastAsia="宋体" w:hAnsi="Times New Roman"/>
                <w:b/>
                <w:bCs/>
                <w:color w:val="000000"/>
                <w:sz w:val="20"/>
              </w:rPr>
            </w:pPr>
          </w:p>
        </w:tc>
      </w:tr>
      <w:tr w:rsidR="00A427EE" w14:paraId="3FFB07D4" w14:textId="77777777" w:rsidTr="003B465A">
        <w:trPr>
          <w:trHeight w:val="2369"/>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9364"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p>
        </w:tc>
        <w:tc>
          <w:tcPr>
            <w:tcW w:w="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402B"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省商务厅</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8671F"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酒类商品批发许可证核发</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8DE43"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甘肃省酒类商品批发许可证</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38D8D"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《甘肃省酒类商品管理条例》</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A3291"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市、县级酒类商品行政主管部门</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29E11"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F79F"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67BEF"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D4C54" w14:textId="77777777" w:rsidR="00A427EE" w:rsidRDefault="00A427EE" w:rsidP="003B465A">
            <w:pPr>
              <w:jc w:val="center"/>
              <w:rPr>
                <w:rFonts w:ascii="Times New Roman" w:eastAsia="宋体" w:hAnsi="Times New Roman"/>
                <w:color w:val="000000"/>
                <w:sz w:val="20"/>
              </w:rPr>
            </w:pP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5F773"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制定并公布告知承诺书格式文本，一次性告知申请人许可条件和所需材料，对申请人自愿承诺符合许可条件并按要求提交材料的，当场</w:t>
            </w:r>
            <w:proofErr w:type="gramStart"/>
            <w:r>
              <w:rPr>
                <w:rFonts w:ascii="Times New Roman" w:eastAsia="宋体" w:hAnsi="Times New Roman"/>
                <w:color w:val="000000"/>
                <w:kern w:val="0"/>
                <w:sz w:val="20"/>
                <w:lang w:bidi="ar"/>
              </w:rPr>
              <w:t>作出</w:t>
            </w:r>
            <w:proofErr w:type="gramEnd"/>
            <w:r>
              <w:rPr>
                <w:rFonts w:ascii="Times New Roman" w:eastAsia="宋体" w:hAnsi="Times New Roman"/>
                <w:color w:val="000000"/>
                <w:kern w:val="0"/>
                <w:sz w:val="20"/>
                <w:lang w:bidi="ar"/>
              </w:rPr>
              <w:t>许可决定。</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2D4CF"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协同市场监管部门，依照国家有关法律、法规规定，对生产、销售的酒类商品进行定期监督检测工作。</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推进酒类溯源管理。加快建成</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来源可查、去向可追、责任可究</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的酒类商品追溯体系。</w:t>
            </w:r>
            <w:r>
              <w:rPr>
                <w:rFonts w:ascii="Times New Roman" w:eastAsia="宋体" w:hAnsi="Times New Roman"/>
                <w:color w:val="000000"/>
                <w:kern w:val="0"/>
                <w:sz w:val="20"/>
                <w:lang w:bidi="ar"/>
              </w:rPr>
              <w:t>3.</w:t>
            </w:r>
            <w:r>
              <w:rPr>
                <w:rFonts w:ascii="Times New Roman" w:eastAsia="宋体" w:hAnsi="Times New Roman"/>
                <w:color w:val="000000"/>
                <w:kern w:val="0"/>
                <w:sz w:val="20"/>
                <w:lang w:bidi="ar"/>
              </w:rPr>
              <w:t>指导行业协会规范开展</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放心酒</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示范店创建、</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黑名单</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公示等工作，促进行业自律。</w:t>
            </w:r>
          </w:p>
        </w:tc>
      </w:tr>
      <w:tr w:rsidR="00A427EE" w14:paraId="48B47321" w14:textId="77777777" w:rsidTr="003B465A">
        <w:trPr>
          <w:trHeight w:val="2543"/>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828F5" w14:textId="77777777" w:rsidR="00A427EE" w:rsidRDefault="00A427EE" w:rsidP="003B465A">
            <w:pPr>
              <w:widowControl/>
              <w:jc w:val="center"/>
              <w:textAlignment w:val="center"/>
              <w:rPr>
                <w:rFonts w:ascii="Times New Roman" w:eastAsia="宋体" w:hAnsi="Times New Roman"/>
                <w:color w:val="000000"/>
                <w:kern w:val="0"/>
                <w:sz w:val="20"/>
                <w:lang w:bidi="ar"/>
              </w:rPr>
            </w:pPr>
          </w:p>
          <w:p w14:paraId="62F809C8" w14:textId="77777777" w:rsidR="00A427EE" w:rsidRDefault="00A427EE" w:rsidP="003B465A">
            <w:pPr>
              <w:widowControl/>
              <w:jc w:val="center"/>
              <w:textAlignment w:val="center"/>
              <w:rPr>
                <w:rFonts w:ascii="Times New Roman" w:eastAsia="宋体" w:hAnsi="Times New Roman"/>
                <w:color w:val="000000"/>
                <w:kern w:val="0"/>
                <w:sz w:val="20"/>
                <w:lang w:bidi="ar"/>
              </w:rPr>
            </w:pPr>
          </w:p>
          <w:p w14:paraId="609C2222" w14:textId="77777777" w:rsidR="00A427EE" w:rsidRDefault="00A427EE" w:rsidP="003B465A">
            <w:pPr>
              <w:widowControl/>
              <w:jc w:val="center"/>
              <w:textAlignment w:val="center"/>
              <w:rPr>
                <w:rFonts w:ascii="Times New Roman" w:eastAsia="宋体" w:hAnsi="Times New Roman"/>
                <w:color w:val="000000"/>
                <w:kern w:val="0"/>
                <w:sz w:val="20"/>
                <w:lang w:bidi="ar"/>
              </w:rPr>
            </w:pPr>
          </w:p>
          <w:p w14:paraId="60D66271" w14:textId="77777777" w:rsidR="00A427EE" w:rsidRDefault="00A427EE" w:rsidP="003B465A">
            <w:pPr>
              <w:widowControl/>
              <w:spacing w:line="180" w:lineRule="exact"/>
              <w:jc w:val="center"/>
              <w:textAlignment w:val="center"/>
              <w:rPr>
                <w:rFonts w:ascii="Times New Roman" w:eastAsia="宋体" w:hAnsi="Times New Roman"/>
                <w:color w:val="000000"/>
                <w:kern w:val="0"/>
                <w:sz w:val="20"/>
                <w:lang w:bidi="ar"/>
              </w:rPr>
            </w:pPr>
          </w:p>
          <w:p w14:paraId="1B8B7F11"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2</w:t>
            </w:r>
          </w:p>
        </w:tc>
        <w:tc>
          <w:tcPr>
            <w:tcW w:w="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65DF"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省民委</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F0CC8"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清真食品生产、加工经营许可</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A164B"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清真食品标志牌</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61995"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《甘肃省清真食品管理条例》</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036E8"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县级民族工作部门（不设区的市，由市级民族工作部门负责）</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72A96"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9A132"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D9CD"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550C2"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00A9"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简化审批材料，不再要求申请人提供营业执照，改为内部核查。</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将审批时限由</w:t>
            </w:r>
            <w:r>
              <w:rPr>
                <w:rFonts w:ascii="Times New Roman" w:eastAsia="宋体" w:hAnsi="Times New Roman"/>
                <w:color w:val="000000"/>
                <w:kern w:val="0"/>
                <w:sz w:val="20"/>
                <w:lang w:bidi="ar"/>
              </w:rPr>
              <w:t>15</w:t>
            </w:r>
            <w:r>
              <w:rPr>
                <w:rFonts w:ascii="Times New Roman" w:eastAsia="宋体" w:hAnsi="Times New Roman"/>
                <w:color w:val="000000"/>
                <w:kern w:val="0"/>
                <w:sz w:val="20"/>
                <w:lang w:bidi="ar"/>
              </w:rPr>
              <w:t>个工作日压减至</w:t>
            </w:r>
            <w:r>
              <w:rPr>
                <w:rFonts w:ascii="Times New Roman" w:eastAsia="宋体" w:hAnsi="Times New Roman"/>
                <w:color w:val="000000"/>
                <w:kern w:val="0"/>
                <w:sz w:val="20"/>
                <w:lang w:bidi="ar"/>
              </w:rPr>
              <w:t>10</w:t>
            </w:r>
            <w:r>
              <w:rPr>
                <w:rFonts w:ascii="Times New Roman" w:eastAsia="宋体" w:hAnsi="Times New Roman"/>
                <w:color w:val="000000"/>
                <w:kern w:val="0"/>
                <w:sz w:val="20"/>
                <w:lang w:bidi="ar"/>
              </w:rPr>
              <w:t>个工作日。</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3999"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加强日常监管。由民族工作部门负责，对取得《清真食品标志牌》的生产经营者通过</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双随机、</w:t>
            </w:r>
            <w:proofErr w:type="gramStart"/>
            <w:r>
              <w:rPr>
                <w:rFonts w:ascii="Times New Roman" w:eastAsia="宋体" w:hAnsi="Times New Roman"/>
                <w:color w:val="000000"/>
                <w:kern w:val="0"/>
                <w:sz w:val="20"/>
                <w:lang w:bidi="ar"/>
              </w:rPr>
              <w:t>一</w:t>
            </w:r>
            <w:proofErr w:type="gramEnd"/>
            <w:r>
              <w:rPr>
                <w:rFonts w:ascii="Times New Roman" w:eastAsia="宋体" w:hAnsi="Times New Roman"/>
                <w:color w:val="000000"/>
                <w:kern w:val="0"/>
                <w:sz w:val="20"/>
                <w:lang w:bidi="ar"/>
              </w:rPr>
              <w:t>公开</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等方式，每年开展不少于</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次的日常检查，并建立检查台账。</w:t>
            </w:r>
          </w:p>
        </w:tc>
      </w:tr>
      <w:tr w:rsidR="00A427EE" w14:paraId="4FF1982C" w14:textId="77777777" w:rsidTr="003B465A">
        <w:trPr>
          <w:trHeight w:val="448"/>
          <w:jc w:val="center"/>
        </w:trPr>
        <w:tc>
          <w:tcPr>
            <w:tcW w:w="530" w:type="dxa"/>
            <w:vMerge w:val="restart"/>
            <w:tcBorders>
              <w:top w:val="single" w:sz="4" w:space="0" w:color="000000"/>
              <w:left w:val="single" w:sz="4" w:space="0" w:color="000000"/>
              <w:right w:val="single" w:sz="4" w:space="0" w:color="000000"/>
            </w:tcBorders>
            <w:shd w:val="clear" w:color="auto" w:fill="auto"/>
            <w:vAlign w:val="center"/>
          </w:tcPr>
          <w:p w14:paraId="4DB19CF1"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p>
          <w:p w14:paraId="31DEAF3B" w14:textId="77777777" w:rsidR="00A427EE" w:rsidRDefault="00A427EE" w:rsidP="003B465A">
            <w:pPr>
              <w:widowControl/>
              <w:spacing w:line="180" w:lineRule="exact"/>
              <w:jc w:val="center"/>
              <w:textAlignment w:val="center"/>
              <w:rPr>
                <w:rFonts w:ascii="Times New Roman" w:eastAsia="宋体" w:hAnsi="Times New Roman"/>
                <w:color w:val="000000"/>
                <w:w w:val="80"/>
                <w:kern w:val="0"/>
                <w:sz w:val="19"/>
                <w:szCs w:val="19"/>
                <w:lang w:bidi="ar"/>
              </w:rPr>
            </w:pPr>
          </w:p>
          <w:p w14:paraId="46F53091"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序号</w:t>
            </w:r>
          </w:p>
        </w:tc>
        <w:tc>
          <w:tcPr>
            <w:tcW w:w="914" w:type="dxa"/>
            <w:vMerge w:val="restart"/>
            <w:tcBorders>
              <w:top w:val="single" w:sz="4" w:space="0" w:color="000000"/>
              <w:left w:val="single" w:sz="4" w:space="0" w:color="000000"/>
              <w:right w:val="single" w:sz="4" w:space="0" w:color="000000"/>
            </w:tcBorders>
            <w:shd w:val="clear" w:color="auto" w:fill="FFFFFF"/>
            <w:vAlign w:val="center"/>
          </w:tcPr>
          <w:p w14:paraId="4755051D"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主管部门</w:t>
            </w:r>
          </w:p>
        </w:tc>
        <w:tc>
          <w:tcPr>
            <w:tcW w:w="1099" w:type="dxa"/>
            <w:vMerge w:val="restart"/>
            <w:tcBorders>
              <w:top w:val="single" w:sz="4" w:space="0" w:color="000000"/>
              <w:left w:val="single" w:sz="4" w:space="0" w:color="000000"/>
              <w:right w:val="single" w:sz="4" w:space="0" w:color="000000"/>
            </w:tcBorders>
            <w:shd w:val="clear" w:color="auto" w:fill="FFFFFF"/>
            <w:vAlign w:val="center"/>
          </w:tcPr>
          <w:p w14:paraId="23B20C98"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改革事项</w:t>
            </w:r>
          </w:p>
        </w:tc>
        <w:tc>
          <w:tcPr>
            <w:tcW w:w="884" w:type="dxa"/>
            <w:vMerge w:val="restart"/>
            <w:tcBorders>
              <w:top w:val="single" w:sz="4" w:space="0" w:color="000000"/>
              <w:left w:val="single" w:sz="4" w:space="0" w:color="000000"/>
              <w:right w:val="single" w:sz="4" w:space="0" w:color="000000"/>
            </w:tcBorders>
            <w:shd w:val="clear" w:color="auto" w:fill="FFFFFF"/>
            <w:vAlign w:val="center"/>
          </w:tcPr>
          <w:p w14:paraId="0099DBA5"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许可证</w:t>
            </w:r>
          </w:p>
          <w:p w14:paraId="298BF3CD"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件名称</w:t>
            </w:r>
          </w:p>
        </w:tc>
        <w:tc>
          <w:tcPr>
            <w:tcW w:w="944" w:type="dxa"/>
            <w:vMerge w:val="restart"/>
            <w:tcBorders>
              <w:top w:val="single" w:sz="4" w:space="0" w:color="000000"/>
              <w:left w:val="single" w:sz="4" w:space="0" w:color="000000"/>
              <w:right w:val="single" w:sz="4" w:space="0" w:color="000000"/>
            </w:tcBorders>
            <w:shd w:val="clear" w:color="auto" w:fill="FFFFFF"/>
            <w:vAlign w:val="center"/>
          </w:tcPr>
          <w:p w14:paraId="7914D56A"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设定依据</w:t>
            </w:r>
          </w:p>
        </w:tc>
        <w:tc>
          <w:tcPr>
            <w:tcW w:w="1110" w:type="dxa"/>
            <w:vMerge w:val="restart"/>
            <w:tcBorders>
              <w:top w:val="single" w:sz="4" w:space="0" w:color="000000"/>
              <w:left w:val="single" w:sz="4" w:space="0" w:color="000000"/>
              <w:right w:val="single" w:sz="4" w:space="0" w:color="000000"/>
            </w:tcBorders>
            <w:shd w:val="clear" w:color="auto" w:fill="FFFFFF"/>
            <w:vAlign w:val="center"/>
          </w:tcPr>
          <w:p w14:paraId="2F4C35F6"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审批层级和部门</w:t>
            </w:r>
          </w:p>
        </w:tc>
        <w:tc>
          <w:tcPr>
            <w:tcW w:w="2577"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14:paraId="19BEF68F"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spacing w:val="20"/>
                <w:w w:val="80"/>
                <w:kern w:val="0"/>
                <w:sz w:val="19"/>
                <w:szCs w:val="19"/>
                <w:lang w:bidi="ar"/>
              </w:rPr>
              <w:t>改革方式</w:t>
            </w:r>
          </w:p>
        </w:tc>
        <w:tc>
          <w:tcPr>
            <w:tcW w:w="2193" w:type="dxa"/>
            <w:vMerge w:val="restart"/>
            <w:tcBorders>
              <w:top w:val="single" w:sz="4" w:space="0" w:color="000000"/>
              <w:left w:val="single" w:sz="4" w:space="0" w:color="000000"/>
              <w:right w:val="single" w:sz="4" w:space="0" w:color="000000"/>
            </w:tcBorders>
            <w:shd w:val="clear" w:color="auto" w:fill="FFFFFF"/>
            <w:vAlign w:val="center"/>
          </w:tcPr>
          <w:p w14:paraId="4E059DC5"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具体改革举措</w:t>
            </w:r>
          </w:p>
        </w:tc>
        <w:tc>
          <w:tcPr>
            <w:tcW w:w="3598" w:type="dxa"/>
            <w:vMerge w:val="restart"/>
            <w:tcBorders>
              <w:top w:val="single" w:sz="4" w:space="0" w:color="000000"/>
              <w:left w:val="single" w:sz="4" w:space="0" w:color="000000"/>
              <w:right w:val="single" w:sz="4" w:space="0" w:color="000000"/>
            </w:tcBorders>
            <w:shd w:val="clear" w:color="auto" w:fill="FFFFFF"/>
            <w:vAlign w:val="center"/>
          </w:tcPr>
          <w:p w14:paraId="488275E4"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加强事中事后监管措施</w:t>
            </w:r>
          </w:p>
        </w:tc>
      </w:tr>
      <w:tr w:rsidR="00A427EE" w14:paraId="3AF1A129" w14:textId="77777777" w:rsidTr="003B465A">
        <w:trPr>
          <w:trHeight w:val="829"/>
          <w:jc w:val="center"/>
        </w:trPr>
        <w:tc>
          <w:tcPr>
            <w:tcW w:w="530" w:type="dxa"/>
            <w:vMerge/>
            <w:tcBorders>
              <w:left w:val="single" w:sz="4" w:space="0" w:color="000000"/>
              <w:bottom w:val="single" w:sz="4" w:space="0" w:color="000000"/>
              <w:right w:val="single" w:sz="4" w:space="0" w:color="000000"/>
            </w:tcBorders>
            <w:shd w:val="clear" w:color="auto" w:fill="auto"/>
            <w:vAlign w:val="center"/>
          </w:tcPr>
          <w:p w14:paraId="0267C2DB" w14:textId="77777777" w:rsidR="00A427EE" w:rsidRDefault="00A427EE" w:rsidP="003B465A">
            <w:pPr>
              <w:widowControl/>
              <w:jc w:val="center"/>
              <w:textAlignment w:val="center"/>
              <w:rPr>
                <w:rFonts w:ascii="Times New Roman" w:eastAsia="宋体" w:hAnsi="Times New Roman"/>
                <w:color w:val="000000"/>
                <w:kern w:val="0"/>
                <w:sz w:val="20"/>
                <w:lang w:bidi="ar"/>
              </w:rPr>
            </w:pPr>
          </w:p>
        </w:tc>
        <w:tc>
          <w:tcPr>
            <w:tcW w:w="914" w:type="dxa"/>
            <w:vMerge/>
            <w:tcBorders>
              <w:left w:val="single" w:sz="4" w:space="0" w:color="000000"/>
              <w:bottom w:val="single" w:sz="4" w:space="0" w:color="000000"/>
              <w:right w:val="single" w:sz="4" w:space="0" w:color="000000"/>
            </w:tcBorders>
            <w:shd w:val="clear" w:color="auto" w:fill="FFFFFF"/>
            <w:vAlign w:val="center"/>
          </w:tcPr>
          <w:p w14:paraId="61AAEA21" w14:textId="77777777" w:rsidR="00A427EE" w:rsidRDefault="00A427EE" w:rsidP="003B465A">
            <w:pPr>
              <w:widowControl/>
              <w:textAlignment w:val="center"/>
              <w:rPr>
                <w:rFonts w:ascii="Times New Roman" w:eastAsia="宋体" w:hAnsi="Times New Roman"/>
                <w:color w:val="000000"/>
                <w:kern w:val="0"/>
                <w:sz w:val="20"/>
                <w:lang w:bidi="ar"/>
              </w:rPr>
            </w:pPr>
          </w:p>
        </w:tc>
        <w:tc>
          <w:tcPr>
            <w:tcW w:w="1099" w:type="dxa"/>
            <w:vMerge/>
            <w:tcBorders>
              <w:left w:val="single" w:sz="4" w:space="0" w:color="000000"/>
              <w:bottom w:val="single" w:sz="4" w:space="0" w:color="000000"/>
              <w:right w:val="single" w:sz="4" w:space="0" w:color="000000"/>
            </w:tcBorders>
            <w:shd w:val="clear" w:color="auto" w:fill="FFFFFF"/>
            <w:vAlign w:val="center"/>
          </w:tcPr>
          <w:p w14:paraId="74E4D206" w14:textId="77777777" w:rsidR="00A427EE" w:rsidRDefault="00A427EE" w:rsidP="003B465A">
            <w:pPr>
              <w:widowControl/>
              <w:textAlignment w:val="center"/>
              <w:rPr>
                <w:rFonts w:ascii="Times New Roman" w:eastAsia="宋体" w:hAnsi="Times New Roman"/>
                <w:color w:val="000000"/>
                <w:kern w:val="0"/>
                <w:sz w:val="20"/>
                <w:lang w:bidi="ar"/>
              </w:rPr>
            </w:pPr>
          </w:p>
        </w:tc>
        <w:tc>
          <w:tcPr>
            <w:tcW w:w="884" w:type="dxa"/>
            <w:vMerge/>
            <w:tcBorders>
              <w:left w:val="single" w:sz="4" w:space="0" w:color="000000"/>
              <w:bottom w:val="single" w:sz="4" w:space="0" w:color="000000"/>
              <w:right w:val="single" w:sz="4" w:space="0" w:color="000000"/>
            </w:tcBorders>
            <w:shd w:val="clear" w:color="auto" w:fill="FFFFFF"/>
            <w:vAlign w:val="center"/>
          </w:tcPr>
          <w:p w14:paraId="095A1F74" w14:textId="77777777" w:rsidR="00A427EE" w:rsidRDefault="00A427EE" w:rsidP="003B465A">
            <w:pPr>
              <w:widowControl/>
              <w:textAlignment w:val="center"/>
              <w:rPr>
                <w:rFonts w:ascii="Times New Roman" w:eastAsia="宋体" w:hAnsi="Times New Roman"/>
                <w:color w:val="000000"/>
                <w:kern w:val="0"/>
                <w:sz w:val="20"/>
                <w:lang w:bidi="ar"/>
              </w:rPr>
            </w:pPr>
          </w:p>
        </w:tc>
        <w:tc>
          <w:tcPr>
            <w:tcW w:w="944" w:type="dxa"/>
            <w:vMerge/>
            <w:tcBorders>
              <w:left w:val="single" w:sz="4" w:space="0" w:color="000000"/>
              <w:bottom w:val="single" w:sz="4" w:space="0" w:color="000000"/>
              <w:right w:val="single" w:sz="4" w:space="0" w:color="000000"/>
            </w:tcBorders>
            <w:shd w:val="clear" w:color="auto" w:fill="FFFFFF"/>
            <w:vAlign w:val="center"/>
          </w:tcPr>
          <w:p w14:paraId="61754E93" w14:textId="77777777" w:rsidR="00A427EE" w:rsidRDefault="00A427EE" w:rsidP="003B465A">
            <w:pPr>
              <w:widowControl/>
              <w:textAlignment w:val="center"/>
              <w:rPr>
                <w:rFonts w:ascii="Times New Roman" w:eastAsia="宋体" w:hAnsi="Times New Roman"/>
                <w:color w:val="000000"/>
                <w:kern w:val="0"/>
                <w:sz w:val="20"/>
                <w:lang w:bidi="ar"/>
              </w:rPr>
            </w:pPr>
          </w:p>
        </w:tc>
        <w:tc>
          <w:tcPr>
            <w:tcW w:w="1110" w:type="dxa"/>
            <w:vMerge/>
            <w:tcBorders>
              <w:left w:val="single" w:sz="4" w:space="0" w:color="000000"/>
              <w:bottom w:val="single" w:sz="4" w:space="0" w:color="000000"/>
              <w:right w:val="single" w:sz="4" w:space="0" w:color="000000"/>
            </w:tcBorders>
            <w:shd w:val="clear" w:color="auto" w:fill="FFFFFF"/>
            <w:vAlign w:val="center"/>
          </w:tcPr>
          <w:p w14:paraId="6C544866" w14:textId="77777777" w:rsidR="00A427EE" w:rsidRDefault="00A427EE" w:rsidP="003B465A">
            <w:pPr>
              <w:widowControl/>
              <w:textAlignment w:val="center"/>
              <w:rPr>
                <w:rFonts w:ascii="Times New Roman" w:eastAsia="宋体" w:hAnsi="Times New Roman"/>
                <w:color w:val="000000"/>
                <w:kern w:val="0"/>
                <w:sz w:val="20"/>
                <w:lang w:bidi="ar"/>
              </w:rPr>
            </w:pP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86A5994"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直接取消审批</w:t>
            </w: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2FB6B98"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审批改为备案</w:t>
            </w: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25B5E31"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实行告知承诺</w:t>
            </w: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6394B94"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优化审批服务</w:t>
            </w:r>
          </w:p>
        </w:tc>
        <w:tc>
          <w:tcPr>
            <w:tcW w:w="2193" w:type="dxa"/>
            <w:vMerge/>
            <w:tcBorders>
              <w:left w:val="single" w:sz="4" w:space="0" w:color="000000"/>
              <w:bottom w:val="single" w:sz="4" w:space="0" w:color="000000"/>
              <w:right w:val="single" w:sz="4" w:space="0" w:color="000000"/>
            </w:tcBorders>
            <w:shd w:val="clear" w:color="auto" w:fill="FFFFFF"/>
            <w:vAlign w:val="center"/>
          </w:tcPr>
          <w:p w14:paraId="7F153511"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3598" w:type="dxa"/>
            <w:vMerge/>
            <w:tcBorders>
              <w:left w:val="single" w:sz="4" w:space="0" w:color="000000"/>
              <w:bottom w:val="single" w:sz="4" w:space="0" w:color="000000"/>
              <w:right w:val="single" w:sz="4" w:space="0" w:color="000000"/>
            </w:tcBorders>
            <w:shd w:val="clear" w:color="auto" w:fill="FFFFFF"/>
            <w:vAlign w:val="center"/>
          </w:tcPr>
          <w:p w14:paraId="6BA1D83E" w14:textId="77777777" w:rsidR="00A427EE" w:rsidRDefault="00A427EE" w:rsidP="003B465A">
            <w:pPr>
              <w:widowControl/>
              <w:jc w:val="left"/>
              <w:textAlignment w:val="center"/>
              <w:rPr>
                <w:rFonts w:ascii="Times New Roman" w:eastAsia="宋体" w:hAnsi="Times New Roman"/>
                <w:color w:val="000000"/>
                <w:kern w:val="0"/>
                <w:sz w:val="20"/>
                <w:lang w:bidi="ar"/>
              </w:rPr>
            </w:pPr>
          </w:p>
        </w:tc>
      </w:tr>
      <w:tr w:rsidR="00A427EE" w14:paraId="3BB45F06" w14:textId="77777777" w:rsidTr="003B465A">
        <w:trPr>
          <w:trHeight w:val="3378"/>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6541"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3</w:t>
            </w:r>
          </w:p>
        </w:tc>
        <w:tc>
          <w:tcPr>
            <w:tcW w:w="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953C5"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省交通运输厅</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6849"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汽车综合性能检测</w:t>
            </w:r>
            <w:proofErr w:type="gramStart"/>
            <w:r>
              <w:rPr>
                <w:rFonts w:ascii="Times New Roman" w:eastAsia="宋体" w:hAnsi="Times New Roman"/>
                <w:color w:val="000000"/>
                <w:kern w:val="0"/>
                <w:sz w:val="20"/>
                <w:lang w:bidi="ar"/>
              </w:rPr>
              <w:t>站经营</w:t>
            </w:r>
            <w:proofErr w:type="gramEnd"/>
            <w:r>
              <w:rPr>
                <w:rFonts w:ascii="Times New Roman" w:eastAsia="宋体" w:hAnsi="Times New Roman"/>
                <w:color w:val="000000"/>
                <w:kern w:val="0"/>
                <w:sz w:val="20"/>
                <w:lang w:bidi="ar"/>
              </w:rPr>
              <w:t>许可</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08972"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无</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5947B"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《甘肃省道路运输条例》</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E2A1F"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省交通运输厅</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AF45"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AB2E5"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DEA50"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2C0DA"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D311A"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实现申请、审批全程网上办理。</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简化登记申请材料，不再要求提供检验检测机构法人资格证明，改为内部核验。</w:t>
            </w:r>
            <w:r>
              <w:rPr>
                <w:rFonts w:ascii="Times New Roman" w:eastAsia="宋体" w:hAnsi="Times New Roman"/>
                <w:color w:val="000000"/>
                <w:kern w:val="0"/>
                <w:sz w:val="20"/>
                <w:lang w:bidi="ar"/>
              </w:rPr>
              <w:t>3.</w:t>
            </w:r>
            <w:r>
              <w:rPr>
                <w:rFonts w:ascii="Times New Roman" w:eastAsia="宋体" w:hAnsi="Times New Roman"/>
                <w:color w:val="000000"/>
                <w:kern w:val="0"/>
                <w:sz w:val="20"/>
                <w:lang w:bidi="ar"/>
              </w:rPr>
              <w:t>将审批时限由</w:t>
            </w:r>
            <w:r>
              <w:rPr>
                <w:rFonts w:ascii="Times New Roman" w:eastAsia="宋体" w:hAnsi="Times New Roman"/>
                <w:color w:val="000000"/>
                <w:kern w:val="0"/>
                <w:sz w:val="20"/>
                <w:lang w:bidi="ar"/>
              </w:rPr>
              <w:t>9</w:t>
            </w:r>
            <w:r>
              <w:rPr>
                <w:rFonts w:ascii="Times New Roman" w:eastAsia="宋体" w:hAnsi="Times New Roman"/>
                <w:color w:val="000000"/>
                <w:kern w:val="0"/>
                <w:sz w:val="20"/>
                <w:lang w:bidi="ar"/>
              </w:rPr>
              <w:t>个工作日压减至</w:t>
            </w:r>
            <w:r>
              <w:rPr>
                <w:rFonts w:ascii="Times New Roman" w:eastAsia="宋体" w:hAnsi="Times New Roman"/>
                <w:color w:val="000000"/>
                <w:kern w:val="0"/>
                <w:sz w:val="20"/>
                <w:lang w:bidi="ar"/>
              </w:rPr>
              <w:t>5</w:t>
            </w:r>
            <w:r>
              <w:rPr>
                <w:rFonts w:ascii="Times New Roman" w:eastAsia="宋体" w:hAnsi="Times New Roman"/>
                <w:color w:val="000000"/>
                <w:kern w:val="0"/>
                <w:sz w:val="20"/>
                <w:lang w:bidi="ar"/>
              </w:rPr>
              <w:t>个工作日。</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19E58" w14:textId="7518725C" w:rsidR="00A427EE" w:rsidRDefault="00A427EE" w:rsidP="003B465A">
            <w:pPr>
              <w:widowControl/>
              <w:spacing w:line="240" w:lineRule="exac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推进</w:t>
            </w:r>
            <w:proofErr w:type="gramStart"/>
            <w:r>
              <w:rPr>
                <w:rFonts w:ascii="Times New Roman" w:eastAsia="宋体" w:hAnsi="Times New Roman"/>
                <w:color w:val="000000"/>
                <w:kern w:val="0"/>
                <w:sz w:val="20"/>
                <w:lang w:bidi="ar"/>
              </w:rPr>
              <w:t>汽车综检机构</w:t>
            </w:r>
            <w:proofErr w:type="gramEnd"/>
            <w:r>
              <w:rPr>
                <w:rFonts w:ascii="Times New Roman" w:eastAsia="宋体" w:hAnsi="Times New Roman"/>
                <w:color w:val="000000"/>
                <w:kern w:val="0"/>
                <w:sz w:val="20"/>
                <w:lang w:bidi="ar"/>
              </w:rPr>
              <w:t>系统联网监管。</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督促汽车综合性能检验机构要严格按照国家及行业相关法规标准开展检验检测业务，确保检测和评定结果客观、公正、准确，对检测和评定结果承担法律责任。</w:t>
            </w:r>
            <w:r>
              <w:rPr>
                <w:rFonts w:ascii="Times New Roman" w:eastAsia="宋体" w:hAnsi="Times New Roman"/>
                <w:color w:val="000000"/>
                <w:kern w:val="0"/>
                <w:sz w:val="20"/>
                <w:lang w:bidi="ar"/>
              </w:rPr>
              <w:t>3.</w:t>
            </w:r>
            <w:r>
              <w:rPr>
                <w:rFonts w:ascii="Times New Roman" w:eastAsia="宋体" w:hAnsi="Times New Roman"/>
                <w:color w:val="000000"/>
                <w:kern w:val="0"/>
                <w:sz w:val="20"/>
                <w:lang w:bidi="ar"/>
              </w:rPr>
              <w:t>强化行业信息化监督手段，充分发挥省级汽车综合性能检测联网服务系统的作用，规范汽车</w:t>
            </w:r>
            <w:proofErr w:type="gramStart"/>
            <w:r>
              <w:rPr>
                <w:rFonts w:ascii="Times New Roman" w:eastAsia="宋体" w:hAnsi="Times New Roman"/>
                <w:color w:val="000000"/>
                <w:kern w:val="0"/>
                <w:sz w:val="20"/>
                <w:lang w:bidi="ar"/>
              </w:rPr>
              <w:t>综检市场</w:t>
            </w:r>
            <w:proofErr w:type="gramEnd"/>
            <w:r>
              <w:rPr>
                <w:rFonts w:ascii="Times New Roman" w:eastAsia="宋体" w:hAnsi="Times New Roman"/>
                <w:color w:val="000000"/>
                <w:kern w:val="0"/>
                <w:sz w:val="20"/>
                <w:lang w:bidi="ar"/>
              </w:rPr>
              <w:t>秩序。</w:t>
            </w:r>
            <w:r>
              <w:rPr>
                <w:rFonts w:ascii="Times New Roman" w:eastAsia="宋体" w:hAnsi="Times New Roman"/>
                <w:color w:val="000000"/>
                <w:kern w:val="0"/>
                <w:sz w:val="20"/>
                <w:lang w:bidi="ar"/>
              </w:rPr>
              <w:t>4.</w:t>
            </w:r>
            <w:r>
              <w:rPr>
                <w:rFonts w:ascii="Times New Roman" w:eastAsia="宋体" w:hAnsi="Times New Roman"/>
                <w:color w:val="000000"/>
                <w:kern w:val="0"/>
                <w:sz w:val="20"/>
                <w:lang w:bidi="ar"/>
              </w:rPr>
              <w:t>依托省</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互联网</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监管</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平台，采取定期检查或</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双随机</w:t>
            </w:r>
            <w:r w:rsidR="009478FA">
              <w:rPr>
                <w:rFonts w:ascii="Times New Roman" w:eastAsia="宋体" w:hAnsi="Times New Roman" w:hint="eastAsia"/>
                <w:color w:val="000000"/>
                <w:kern w:val="0"/>
                <w:sz w:val="20"/>
                <w:lang w:bidi="ar"/>
              </w:rPr>
              <w:t>、</w:t>
            </w:r>
            <w:proofErr w:type="gramStart"/>
            <w:r>
              <w:rPr>
                <w:rFonts w:ascii="Times New Roman" w:eastAsia="宋体" w:hAnsi="Times New Roman"/>
                <w:color w:val="000000"/>
                <w:kern w:val="0"/>
                <w:sz w:val="20"/>
                <w:lang w:bidi="ar"/>
              </w:rPr>
              <w:t>一</w:t>
            </w:r>
            <w:proofErr w:type="gramEnd"/>
            <w:r>
              <w:rPr>
                <w:rFonts w:ascii="Times New Roman" w:eastAsia="宋体" w:hAnsi="Times New Roman"/>
                <w:color w:val="000000"/>
                <w:kern w:val="0"/>
                <w:sz w:val="20"/>
                <w:lang w:bidi="ar"/>
              </w:rPr>
              <w:t>公开</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等方式，对汽车综合性能检验机构经营行为进行监督检查。</w:t>
            </w:r>
            <w:r>
              <w:rPr>
                <w:rFonts w:ascii="Times New Roman" w:eastAsia="宋体" w:hAnsi="Times New Roman"/>
                <w:color w:val="000000"/>
                <w:kern w:val="0"/>
                <w:sz w:val="20"/>
                <w:lang w:bidi="ar"/>
              </w:rPr>
              <w:t>5.</w:t>
            </w:r>
            <w:r>
              <w:rPr>
                <w:rFonts w:ascii="Times New Roman" w:eastAsia="宋体" w:hAnsi="Times New Roman"/>
                <w:color w:val="000000"/>
                <w:kern w:val="0"/>
                <w:sz w:val="20"/>
                <w:lang w:bidi="ar"/>
              </w:rPr>
              <w:t>结合年度质量信誉考核工作，加强汽车综合性能检测机构诚信管理体系建设，引导和促进汽车综合性能检测机构依法经营、诚实守信、公平竞争、优质服务。</w:t>
            </w:r>
          </w:p>
        </w:tc>
      </w:tr>
      <w:tr w:rsidR="00A427EE" w14:paraId="1F6B0230" w14:textId="77777777" w:rsidTr="003B465A">
        <w:trPr>
          <w:trHeight w:val="3255"/>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E46D8"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4</w:t>
            </w:r>
          </w:p>
        </w:tc>
        <w:tc>
          <w:tcPr>
            <w:tcW w:w="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081E4"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省市场监管局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3F539"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食品小作坊登记</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36D09"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食品小作坊登记证</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AF0AC"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《甘肃省食品小作坊小经营店小摊点监督管理条例》</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FE0CE" w14:textId="77777777" w:rsidR="00A427EE" w:rsidRDefault="00A427EE" w:rsidP="003B465A">
            <w:pPr>
              <w:widowControl/>
              <w:textAlignment w:val="center"/>
              <w:rPr>
                <w:rFonts w:ascii="Times New Roman" w:eastAsia="宋体" w:hAnsi="Times New Roman"/>
                <w:color w:val="000000"/>
                <w:sz w:val="20"/>
              </w:rPr>
            </w:pPr>
            <w:r>
              <w:rPr>
                <w:rFonts w:ascii="Times New Roman" w:eastAsia="宋体" w:hAnsi="Times New Roman"/>
                <w:color w:val="000000"/>
                <w:kern w:val="0"/>
                <w:sz w:val="20"/>
                <w:lang w:bidi="ar"/>
              </w:rPr>
              <w:t>县级市场监管部门</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0355F"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1C6523"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0D192"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4B06B"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E5AA" w14:textId="77777777" w:rsidR="00A427EE" w:rsidRDefault="00A427EE" w:rsidP="003B465A">
            <w:pPr>
              <w:widowControl/>
              <w:spacing w:line="220" w:lineRule="exact"/>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简化登记申请材料，将原需提交的申请人身份证复印件、营业执照复印件等证明材料取消，改为内部核验，申请人只需提交登记申请书和从业人员健康证明、生产加工场所平面图、拟生产加工的食品品种说明及原辅料、食品添加剂清单即可办理登记。</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将审批时限由</w:t>
            </w:r>
            <w:r>
              <w:rPr>
                <w:rFonts w:ascii="Times New Roman" w:eastAsia="宋体" w:hAnsi="Times New Roman"/>
                <w:color w:val="000000"/>
                <w:kern w:val="0"/>
                <w:sz w:val="20"/>
                <w:lang w:bidi="ar"/>
              </w:rPr>
              <w:t>15</w:t>
            </w:r>
            <w:r>
              <w:rPr>
                <w:rFonts w:ascii="Times New Roman" w:eastAsia="宋体" w:hAnsi="Times New Roman"/>
                <w:color w:val="000000"/>
                <w:kern w:val="0"/>
                <w:sz w:val="20"/>
                <w:lang w:bidi="ar"/>
              </w:rPr>
              <w:t>个工作日压减至</w:t>
            </w:r>
            <w:r>
              <w:rPr>
                <w:rFonts w:ascii="Times New Roman" w:eastAsia="宋体" w:hAnsi="Times New Roman"/>
                <w:color w:val="000000"/>
                <w:kern w:val="0"/>
                <w:sz w:val="20"/>
                <w:lang w:bidi="ar"/>
              </w:rPr>
              <w:t>10</w:t>
            </w:r>
            <w:r>
              <w:rPr>
                <w:rFonts w:ascii="Times New Roman" w:eastAsia="宋体" w:hAnsi="Times New Roman"/>
                <w:color w:val="000000"/>
                <w:kern w:val="0"/>
                <w:sz w:val="20"/>
                <w:lang w:bidi="ar"/>
              </w:rPr>
              <w:t>个工作日。</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7A113" w14:textId="77777777" w:rsidR="00A427EE" w:rsidRDefault="00A427EE" w:rsidP="003B465A">
            <w:pPr>
              <w:widowControl/>
              <w:spacing w:line="220" w:lineRule="exac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县级人民政府将食品小作坊的监督管理纳入本行政区域食品安全年度监督管理计划，并组织实施。对存在的区域性、普遍性的食品安全问题，组织食品安全监督管理相关部门进行联合执法或者专项检查。</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县级人民政府市场监督管理部门按照国家规定的快速检测方法对食品小作坊生产经营的食品进行抽查检测。县级以上人民政府市场监督管理部门开展抽样检验，依法委托符合规定的食品检验机构进行，并依据有关规定公布检验结果，不得免检。对消费者反映较多和本行政区域内消费量大的食品，进行重点抽样检验。</w:t>
            </w:r>
          </w:p>
        </w:tc>
      </w:tr>
      <w:tr w:rsidR="00A427EE" w14:paraId="236AD2EA" w14:textId="77777777" w:rsidTr="003B465A">
        <w:trPr>
          <w:trHeight w:val="553"/>
          <w:jc w:val="center"/>
        </w:trPr>
        <w:tc>
          <w:tcPr>
            <w:tcW w:w="530" w:type="dxa"/>
            <w:vMerge w:val="restart"/>
            <w:tcBorders>
              <w:top w:val="single" w:sz="4" w:space="0" w:color="000000"/>
              <w:left w:val="single" w:sz="4" w:space="0" w:color="000000"/>
              <w:right w:val="single" w:sz="4" w:space="0" w:color="000000"/>
            </w:tcBorders>
            <w:shd w:val="clear" w:color="auto" w:fill="auto"/>
            <w:vAlign w:val="center"/>
          </w:tcPr>
          <w:p w14:paraId="673FAC53"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lastRenderedPageBreak/>
              <w:t>序号</w:t>
            </w:r>
          </w:p>
        </w:tc>
        <w:tc>
          <w:tcPr>
            <w:tcW w:w="914" w:type="dxa"/>
            <w:vMerge w:val="restart"/>
            <w:tcBorders>
              <w:top w:val="single" w:sz="4" w:space="0" w:color="000000"/>
              <w:left w:val="single" w:sz="4" w:space="0" w:color="000000"/>
              <w:right w:val="single" w:sz="4" w:space="0" w:color="000000"/>
            </w:tcBorders>
            <w:shd w:val="clear" w:color="auto" w:fill="FFFFFF"/>
            <w:vAlign w:val="center"/>
          </w:tcPr>
          <w:p w14:paraId="10C2D189"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主管部门</w:t>
            </w:r>
          </w:p>
        </w:tc>
        <w:tc>
          <w:tcPr>
            <w:tcW w:w="1099" w:type="dxa"/>
            <w:vMerge w:val="restart"/>
            <w:tcBorders>
              <w:top w:val="single" w:sz="4" w:space="0" w:color="000000"/>
              <w:left w:val="single" w:sz="4" w:space="0" w:color="000000"/>
              <w:right w:val="single" w:sz="4" w:space="0" w:color="000000"/>
            </w:tcBorders>
            <w:shd w:val="clear" w:color="auto" w:fill="FFFFFF"/>
            <w:vAlign w:val="center"/>
          </w:tcPr>
          <w:p w14:paraId="1CED1F08"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改革事项</w:t>
            </w:r>
          </w:p>
        </w:tc>
        <w:tc>
          <w:tcPr>
            <w:tcW w:w="884" w:type="dxa"/>
            <w:vMerge w:val="restart"/>
            <w:tcBorders>
              <w:top w:val="single" w:sz="4" w:space="0" w:color="000000"/>
              <w:left w:val="single" w:sz="4" w:space="0" w:color="000000"/>
              <w:right w:val="single" w:sz="4" w:space="0" w:color="000000"/>
            </w:tcBorders>
            <w:shd w:val="clear" w:color="auto" w:fill="FFFFFF"/>
            <w:vAlign w:val="center"/>
          </w:tcPr>
          <w:p w14:paraId="4FCC3A77"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许可证</w:t>
            </w:r>
          </w:p>
          <w:p w14:paraId="68EBC8C9"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件名称</w:t>
            </w:r>
          </w:p>
        </w:tc>
        <w:tc>
          <w:tcPr>
            <w:tcW w:w="944" w:type="dxa"/>
            <w:vMerge w:val="restart"/>
            <w:tcBorders>
              <w:top w:val="single" w:sz="4" w:space="0" w:color="000000"/>
              <w:left w:val="single" w:sz="4" w:space="0" w:color="000000"/>
              <w:right w:val="single" w:sz="4" w:space="0" w:color="000000"/>
            </w:tcBorders>
            <w:shd w:val="clear" w:color="auto" w:fill="FFFFFF"/>
            <w:vAlign w:val="center"/>
          </w:tcPr>
          <w:p w14:paraId="3882B3E4"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设定依据</w:t>
            </w:r>
          </w:p>
        </w:tc>
        <w:tc>
          <w:tcPr>
            <w:tcW w:w="1110" w:type="dxa"/>
            <w:vMerge w:val="restart"/>
            <w:tcBorders>
              <w:top w:val="single" w:sz="4" w:space="0" w:color="000000"/>
              <w:left w:val="single" w:sz="4" w:space="0" w:color="000000"/>
              <w:right w:val="single" w:sz="4" w:space="0" w:color="000000"/>
            </w:tcBorders>
            <w:shd w:val="clear" w:color="auto" w:fill="FFFFFF"/>
            <w:vAlign w:val="center"/>
          </w:tcPr>
          <w:p w14:paraId="093C08C0"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审批层级和部门</w:t>
            </w:r>
          </w:p>
        </w:tc>
        <w:tc>
          <w:tcPr>
            <w:tcW w:w="2577"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14:paraId="5F2855D6"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spacing w:val="20"/>
                <w:w w:val="80"/>
                <w:kern w:val="0"/>
                <w:sz w:val="19"/>
                <w:szCs w:val="19"/>
                <w:lang w:bidi="ar"/>
              </w:rPr>
              <w:t>改革方式</w:t>
            </w:r>
          </w:p>
        </w:tc>
        <w:tc>
          <w:tcPr>
            <w:tcW w:w="2193" w:type="dxa"/>
            <w:vMerge w:val="restart"/>
            <w:tcBorders>
              <w:top w:val="single" w:sz="4" w:space="0" w:color="000000"/>
              <w:left w:val="single" w:sz="4" w:space="0" w:color="000000"/>
              <w:right w:val="single" w:sz="4" w:space="0" w:color="000000"/>
            </w:tcBorders>
            <w:shd w:val="clear" w:color="auto" w:fill="FFFFFF"/>
            <w:vAlign w:val="center"/>
          </w:tcPr>
          <w:p w14:paraId="2971D367"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具体改革举措</w:t>
            </w:r>
          </w:p>
        </w:tc>
        <w:tc>
          <w:tcPr>
            <w:tcW w:w="3598" w:type="dxa"/>
            <w:vMerge w:val="restart"/>
            <w:tcBorders>
              <w:top w:val="single" w:sz="4" w:space="0" w:color="000000"/>
              <w:left w:val="single" w:sz="4" w:space="0" w:color="000000"/>
              <w:right w:val="single" w:sz="4" w:space="0" w:color="000000"/>
            </w:tcBorders>
            <w:shd w:val="clear" w:color="auto" w:fill="FFFFFF"/>
            <w:vAlign w:val="center"/>
          </w:tcPr>
          <w:p w14:paraId="0EC7D609"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加强事中事后监管措施</w:t>
            </w:r>
          </w:p>
        </w:tc>
      </w:tr>
      <w:tr w:rsidR="00A427EE" w14:paraId="04185C95" w14:textId="77777777" w:rsidTr="003B465A">
        <w:trPr>
          <w:trHeight w:val="859"/>
          <w:jc w:val="center"/>
        </w:trPr>
        <w:tc>
          <w:tcPr>
            <w:tcW w:w="530" w:type="dxa"/>
            <w:vMerge/>
            <w:tcBorders>
              <w:left w:val="single" w:sz="4" w:space="0" w:color="000000"/>
              <w:bottom w:val="single" w:sz="4" w:space="0" w:color="000000"/>
              <w:right w:val="single" w:sz="4" w:space="0" w:color="000000"/>
            </w:tcBorders>
            <w:shd w:val="clear" w:color="auto" w:fill="auto"/>
            <w:vAlign w:val="center"/>
          </w:tcPr>
          <w:p w14:paraId="542A24F6" w14:textId="77777777" w:rsidR="00A427EE" w:rsidRDefault="00A427EE" w:rsidP="003B465A">
            <w:pPr>
              <w:widowControl/>
              <w:jc w:val="center"/>
              <w:textAlignment w:val="center"/>
              <w:rPr>
                <w:rFonts w:ascii="Times New Roman" w:eastAsia="宋体" w:hAnsi="Times New Roman"/>
                <w:color w:val="000000"/>
                <w:kern w:val="0"/>
                <w:sz w:val="20"/>
                <w:lang w:bidi="ar"/>
              </w:rPr>
            </w:pPr>
          </w:p>
        </w:tc>
        <w:tc>
          <w:tcPr>
            <w:tcW w:w="914" w:type="dxa"/>
            <w:vMerge/>
            <w:tcBorders>
              <w:left w:val="single" w:sz="4" w:space="0" w:color="000000"/>
              <w:bottom w:val="single" w:sz="4" w:space="0" w:color="000000"/>
              <w:right w:val="single" w:sz="4" w:space="0" w:color="000000"/>
            </w:tcBorders>
            <w:shd w:val="clear" w:color="auto" w:fill="FFFFFF"/>
            <w:vAlign w:val="center"/>
          </w:tcPr>
          <w:p w14:paraId="6FD8D5EB"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1099" w:type="dxa"/>
            <w:vMerge/>
            <w:tcBorders>
              <w:left w:val="single" w:sz="4" w:space="0" w:color="000000"/>
              <w:bottom w:val="single" w:sz="4" w:space="0" w:color="000000"/>
              <w:right w:val="single" w:sz="4" w:space="0" w:color="000000"/>
            </w:tcBorders>
            <w:shd w:val="clear" w:color="auto" w:fill="FFFFFF"/>
            <w:vAlign w:val="center"/>
          </w:tcPr>
          <w:p w14:paraId="6C938F6E"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884" w:type="dxa"/>
            <w:vMerge/>
            <w:tcBorders>
              <w:left w:val="single" w:sz="4" w:space="0" w:color="000000"/>
              <w:bottom w:val="single" w:sz="4" w:space="0" w:color="000000"/>
              <w:right w:val="single" w:sz="4" w:space="0" w:color="000000"/>
            </w:tcBorders>
            <w:shd w:val="clear" w:color="auto" w:fill="FFFFFF"/>
            <w:vAlign w:val="center"/>
          </w:tcPr>
          <w:p w14:paraId="73F260ED"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944" w:type="dxa"/>
            <w:vMerge/>
            <w:tcBorders>
              <w:left w:val="single" w:sz="4" w:space="0" w:color="000000"/>
              <w:bottom w:val="single" w:sz="4" w:space="0" w:color="000000"/>
              <w:right w:val="single" w:sz="4" w:space="0" w:color="000000"/>
            </w:tcBorders>
            <w:shd w:val="clear" w:color="auto" w:fill="FFFFFF"/>
            <w:vAlign w:val="center"/>
          </w:tcPr>
          <w:p w14:paraId="347D4894"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1110" w:type="dxa"/>
            <w:vMerge/>
            <w:tcBorders>
              <w:left w:val="single" w:sz="4" w:space="0" w:color="000000"/>
              <w:bottom w:val="single" w:sz="4" w:space="0" w:color="000000"/>
              <w:right w:val="single" w:sz="4" w:space="0" w:color="000000"/>
            </w:tcBorders>
            <w:shd w:val="clear" w:color="auto" w:fill="FFFFFF"/>
            <w:vAlign w:val="center"/>
          </w:tcPr>
          <w:p w14:paraId="45561F92"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405FAA9"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直接取消审批</w:t>
            </w: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46DD7F9"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审批改为备案</w:t>
            </w:r>
          </w:p>
        </w:tc>
        <w:tc>
          <w:tcPr>
            <w:tcW w:w="64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503363C"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实行告知承诺</w:t>
            </w: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7448047"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优化审批服务</w:t>
            </w:r>
          </w:p>
        </w:tc>
        <w:tc>
          <w:tcPr>
            <w:tcW w:w="2193" w:type="dxa"/>
            <w:vMerge/>
            <w:tcBorders>
              <w:left w:val="single" w:sz="4" w:space="0" w:color="000000"/>
              <w:bottom w:val="single" w:sz="4" w:space="0" w:color="000000"/>
              <w:right w:val="single" w:sz="4" w:space="0" w:color="000000"/>
            </w:tcBorders>
            <w:shd w:val="clear" w:color="auto" w:fill="FFFFFF"/>
            <w:vAlign w:val="center"/>
          </w:tcPr>
          <w:p w14:paraId="09F9ED87"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3598" w:type="dxa"/>
            <w:vMerge/>
            <w:tcBorders>
              <w:left w:val="single" w:sz="4" w:space="0" w:color="000000"/>
              <w:bottom w:val="single" w:sz="4" w:space="0" w:color="000000"/>
              <w:right w:val="single" w:sz="4" w:space="0" w:color="000000"/>
            </w:tcBorders>
            <w:shd w:val="clear" w:color="auto" w:fill="FFFFFF"/>
            <w:vAlign w:val="center"/>
          </w:tcPr>
          <w:p w14:paraId="5419FD54" w14:textId="77777777" w:rsidR="00A427EE" w:rsidRDefault="00A427EE" w:rsidP="003B465A">
            <w:pPr>
              <w:widowControl/>
              <w:jc w:val="left"/>
              <w:textAlignment w:val="center"/>
              <w:rPr>
                <w:rFonts w:ascii="Times New Roman" w:eastAsia="宋体" w:hAnsi="Times New Roman"/>
                <w:color w:val="000000"/>
                <w:kern w:val="0"/>
                <w:sz w:val="20"/>
                <w:lang w:bidi="ar"/>
              </w:rPr>
            </w:pPr>
          </w:p>
        </w:tc>
      </w:tr>
      <w:tr w:rsidR="00A427EE" w14:paraId="4F7B56D8" w14:textId="77777777" w:rsidTr="003B465A">
        <w:trPr>
          <w:trHeight w:val="6914"/>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4642C"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5</w:t>
            </w:r>
          </w:p>
        </w:tc>
        <w:tc>
          <w:tcPr>
            <w:tcW w:w="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3AD9E"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省市场监管局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8B18"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食品小经营店登记</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D0BEF"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食品小经营店登记证</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F9F1A"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《甘肃省食品小作坊小经营店小摊点监督管理条例》</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762AA"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县级市场监管部门</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0F2C5"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E2F55"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A9976" w14:textId="77777777" w:rsidR="00A427EE" w:rsidRDefault="00A427EE" w:rsidP="003B465A">
            <w:pP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E0594"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E412"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、简化登记申请材料，将原需提交的申请人身份证复印件、营业执照复印件等证明材料取消，改为内部核查，申请人只需提交登记申请书和从业人员健康证明即可办理登记。</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、将审批时限由</w:t>
            </w:r>
            <w:r>
              <w:rPr>
                <w:rFonts w:ascii="Times New Roman" w:eastAsia="宋体" w:hAnsi="Times New Roman"/>
                <w:color w:val="000000"/>
                <w:kern w:val="0"/>
                <w:sz w:val="20"/>
                <w:lang w:bidi="ar"/>
              </w:rPr>
              <w:t>15</w:t>
            </w:r>
            <w:r>
              <w:rPr>
                <w:rFonts w:ascii="Times New Roman" w:eastAsia="宋体" w:hAnsi="Times New Roman"/>
                <w:color w:val="000000"/>
                <w:kern w:val="0"/>
                <w:sz w:val="20"/>
                <w:lang w:bidi="ar"/>
              </w:rPr>
              <w:t>个工作日压减至</w:t>
            </w:r>
            <w:r>
              <w:rPr>
                <w:rFonts w:ascii="Times New Roman" w:eastAsia="宋体" w:hAnsi="Times New Roman"/>
                <w:color w:val="000000"/>
                <w:kern w:val="0"/>
                <w:sz w:val="20"/>
                <w:lang w:bidi="ar"/>
              </w:rPr>
              <w:t>10</w:t>
            </w:r>
            <w:r>
              <w:rPr>
                <w:rFonts w:ascii="Times New Roman" w:eastAsia="宋体" w:hAnsi="Times New Roman"/>
                <w:color w:val="000000"/>
                <w:kern w:val="0"/>
                <w:sz w:val="20"/>
                <w:lang w:bidi="ar"/>
              </w:rPr>
              <w:t>个工作日。</w:t>
            </w:r>
            <w:r>
              <w:rPr>
                <w:rFonts w:ascii="Times New Roman" w:eastAsia="宋体" w:hAnsi="Times New Roman"/>
                <w:color w:val="000000"/>
                <w:kern w:val="0"/>
                <w:sz w:val="20"/>
                <w:lang w:bidi="ar"/>
              </w:rPr>
              <w:t>3</w:t>
            </w:r>
            <w:r>
              <w:rPr>
                <w:rFonts w:ascii="Times New Roman" w:eastAsia="宋体" w:hAnsi="Times New Roman"/>
                <w:color w:val="000000"/>
                <w:kern w:val="0"/>
                <w:sz w:val="20"/>
                <w:lang w:bidi="ar"/>
              </w:rPr>
              <w:t>、对食品小经营店登记现场核查实施</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告知承诺制</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，书面承诺申请材料与实际一致的，对其免于现场核查，减化了审批程序，压缩审批时限</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25032"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县级人民政府市场监督管理部门或者派出机构在发放食品小经营店登记证后三十个工作日内对其实施现场检查，发现申请者实际情况与承诺内容不符的，应当要求其限期整改；整改后仍不符合条件的，登记机关应当撤销登记决定，并收回登记证。</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、县级人民政府将食品小经营店的监督管理纳入本行政区域食品安全年度监督管理计划，并组织实施。对存在的区域性、普遍性的食品安全问题，组织食品安全监督管理相关部门进行联合执法或者专项检查。</w:t>
            </w:r>
            <w:r>
              <w:rPr>
                <w:rFonts w:ascii="Times New Roman" w:eastAsia="宋体" w:hAnsi="Times New Roman"/>
                <w:color w:val="000000"/>
                <w:kern w:val="0"/>
                <w:sz w:val="20"/>
                <w:lang w:bidi="ar"/>
              </w:rPr>
              <w:t>3</w:t>
            </w:r>
            <w:r>
              <w:rPr>
                <w:rFonts w:ascii="Times New Roman" w:eastAsia="宋体" w:hAnsi="Times New Roman"/>
                <w:color w:val="000000"/>
                <w:kern w:val="0"/>
                <w:sz w:val="20"/>
                <w:lang w:bidi="ar"/>
              </w:rPr>
              <w:t>、县级人民政府市场监督管理部门按照国家规定的快速检测方法对食品小经营店经营的食品进行抽查检测。县级以上人民政府市场监督管理部门开展抽样检验，依法委托符合规定的食品检验机构进行，并依据有关规定公布检验结果，不得免检。对消费者反映较多和本行政区域内消费量大的食品，应当重点抽样检验。</w:t>
            </w:r>
          </w:p>
        </w:tc>
      </w:tr>
      <w:tr w:rsidR="00A427EE" w14:paraId="049A9AF0" w14:textId="77777777" w:rsidTr="003B465A">
        <w:trPr>
          <w:trHeight w:val="526"/>
          <w:jc w:val="center"/>
        </w:trPr>
        <w:tc>
          <w:tcPr>
            <w:tcW w:w="530" w:type="dxa"/>
            <w:vMerge w:val="restart"/>
            <w:tcBorders>
              <w:top w:val="single" w:sz="4" w:space="0" w:color="000000"/>
              <w:left w:val="single" w:sz="4" w:space="0" w:color="000000"/>
              <w:right w:val="single" w:sz="4" w:space="0" w:color="000000"/>
            </w:tcBorders>
            <w:shd w:val="clear" w:color="auto" w:fill="auto"/>
            <w:vAlign w:val="center"/>
          </w:tcPr>
          <w:p w14:paraId="49BF7DA7"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lastRenderedPageBreak/>
              <w:t>序号</w:t>
            </w:r>
          </w:p>
        </w:tc>
        <w:tc>
          <w:tcPr>
            <w:tcW w:w="914" w:type="dxa"/>
            <w:vMerge w:val="restart"/>
            <w:tcBorders>
              <w:top w:val="single" w:sz="4" w:space="0" w:color="000000"/>
              <w:left w:val="single" w:sz="4" w:space="0" w:color="000000"/>
              <w:right w:val="single" w:sz="4" w:space="0" w:color="000000"/>
            </w:tcBorders>
            <w:shd w:val="clear" w:color="auto" w:fill="FFFFFF"/>
            <w:vAlign w:val="center"/>
          </w:tcPr>
          <w:p w14:paraId="524439B2"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主管部门</w:t>
            </w:r>
          </w:p>
        </w:tc>
        <w:tc>
          <w:tcPr>
            <w:tcW w:w="1099" w:type="dxa"/>
            <w:vMerge w:val="restart"/>
            <w:tcBorders>
              <w:top w:val="single" w:sz="4" w:space="0" w:color="000000"/>
              <w:left w:val="single" w:sz="4" w:space="0" w:color="000000"/>
              <w:right w:val="single" w:sz="4" w:space="0" w:color="000000"/>
            </w:tcBorders>
            <w:shd w:val="clear" w:color="auto" w:fill="FFFFFF"/>
            <w:vAlign w:val="center"/>
          </w:tcPr>
          <w:p w14:paraId="1E664D30"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改革事项</w:t>
            </w:r>
          </w:p>
        </w:tc>
        <w:tc>
          <w:tcPr>
            <w:tcW w:w="884" w:type="dxa"/>
            <w:vMerge w:val="restart"/>
            <w:tcBorders>
              <w:top w:val="single" w:sz="4" w:space="0" w:color="000000"/>
              <w:left w:val="single" w:sz="4" w:space="0" w:color="000000"/>
              <w:right w:val="single" w:sz="4" w:space="0" w:color="000000"/>
            </w:tcBorders>
            <w:shd w:val="clear" w:color="auto" w:fill="FFFFFF"/>
            <w:vAlign w:val="center"/>
          </w:tcPr>
          <w:p w14:paraId="55ABF703"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许可证</w:t>
            </w:r>
          </w:p>
          <w:p w14:paraId="4130205B"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件名称</w:t>
            </w:r>
          </w:p>
        </w:tc>
        <w:tc>
          <w:tcPr>
            <w:tcW w:w="944" w:type="dxa"/>
            <w:vMerge w:val="restart"/>
            <w:tcBorders>
              <w:top w:val="single" w:sz="4" w:space="0" w:color="000000"/>
              <w:left w:val="single" w:sz="4" w:space="0" w:color="000000"/>
              <w:right w:val="single" w:sz="4" w:space="0" w:color="000000"/>
            </w:tcBorders>
            <w:shd w:val="clear" w:color="auto" w:fill="FFFFFF"/>
            <w:vAlign w:val="center"/>
          </w:tcPr>
          <w:p w14:paraId="6E561CF8"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设定依据</w:t>
            </w:r>
          </w:p>
        </w:tc>
        <w:tc>
          <w:tcPr>
            <w:tcW w:w="1110" w:type="dxa"/>
            <w:vMerge w:val="restart"/>
            <w:tcBorders>
              <w:top w:val="single" w:sz="4" w:space="0" w:color="000000"/>
              <w:left w:val="single" w:sz="4" w:space="0" w:color="000000"/>
              <w:right w:val="single" w:sz="4" w:space="0" w:color="000000"/>
            </w:tcBorders>
            <w:shd w:val="clear" w:color="auto" w:fill="FFFFFF"/>
            <w:vAlign w:val="center"/>
          </w:tcPr>
          <w:p w14:paraId="78A25518"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审批层级和部门</w:t>
            </w:r>
          </w:p>
        </w:tc>
        <w:tc>
          <w:tcPr>
            <w:tcW w:w="2577"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14:paraId="06A7756E"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spacing w:val="20"/>
                <w:w w:val="80"/>
                <w:kern w:val="0"/>
                <w:sz w:val="19"/>
                <w:szCs w:val="19"/>
                <w:lang w:bidi="ar"/>
              </w:rPr>
              <w:t>改革方式</w:t>
            </w:r>
          </w:p>
        </w:tc>
        <w:tc>
          <w:tcPr>
            <w:tcW w:w="2193" w:type="dxa"/>
            <w:vMerge w:val="restart"/>
            <w:tcBorders>
              <w:top w:val="single" w:sz="4" w:space="0" w:color="000000"/>
              <w:left w:val="single" w:sz="4" w:space="0" w:color="000000"/>
              <w:right w:val="single" w:sz="4" w:space="0" w:color="000000"/>
            </w:tcBorders>
            <w:shd w:val="clear" w:color="auto" w:fill="FFFFFF"/>
            <w:vAlign w:val="center"/>
          </w:tcPr>
          <w:p w14:paraId="6150AC3D"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具体改革举措</w:t>
            </w:r>
          </w:p>
        </w:tc>
        <w:tc>
          <w:tcPr>
            <w:tcW w:w="3598" w:type="dxa"/>
            <w:vMerge w:val="restart"/>
            <w:tcBorders>
              <w:top w:val="single" w:sz="4" w:space="0" w:color="000000"/>
              <w:left w:val="single" w:sz="4" w:space="0" w:color="000000"/>
              <w:right w:val="single" w:sz="4" w:space="0" w:color="000000"/>
            </w:tcBorders>
            <w:shd w:val="clear" w:color="auto" w:fill="FFFFFF"/>
            <w:vAlign w:val="center"/>
          </w:tcPr>
          <w:p w14:paraId="6EEC9199" w14:textId="77777777" w:rsidR="00A427EE" w:rsidRDefault="00A427EE" w:rsidP="003B465A">
            <w:pPr>
              <w:widowControl/>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加强事中事后监管措施</w:t>
            </w:r>
          </w:p>
        </w:tc>
      </w:tr>
      <w:tr w:rsidR="00A427EE" w14:paraId="28B1C583" w14:textId="77777777" w:rsidTr="003B465A">
        <w:trPr>
          <w:trHeight w:val="862"/>
          <w:jc w:val="center"/>
        </w:trPr>
        <w:tc>
          <w:tcPr>
            <w:tcW w:w="530" w:type="dxa"/>
            <w:vMerge/>
            <w:tcBorders>
              <w:left w:val="single" w:sz="4" w:space="0" w:color="000000"/>
              <w:bottom w:val="single" w:sz="4" w:space="0" w:color="000000"/>
              <w:right w:val="single" w:sz="4" w:space="0" w:color="000000"/>
            </w:tcBorders>
            <w:shd w:val="clear" w:color="auto" w:fill="auto"/>
            <w:vAlign w:val="center"/>
          </w:tcPr>
          <w:p w14:paraId="3A36A282" w14:textId="77777777" w:rsidR="00A427EE" w:rsidRDefault="00A427EE" w:rsidP="003B465A">
            <w:pPr>
              <w:widowControl/>
              <w:jc w:val="center"/>
              <w:textAlignment w:val="center"/>
              <w:rPr>
                <w:rFonts w:ascii="Times New Roman" w:eastAsia="宋体" w:hAnsi="Times New Roman"/>
                <w:color w:val="000000"/>
                <w:kern w:val="0"/>
                <w:sz w:val="20"/>
                <w:lang w:bidi="ar"/>
              </w:rPr>
            </w:pPr>
          </w:p>
        </w:tc>
        <w:tc>
          <w:tcPr>
            <w:tcW w:w="914" w:type="dxa"/>
            <w:vMerge/>
            <w:tcBorders>
              <w:left w:val="single" w:sz="4" w:space="0" w:color="000000"/>
              <w:bottom w:val="single" w:sz="4" w:space="0" w:color="000000"/>
              <w:right w:val="single" w:sz="4" w:space="0" w:color="000000"/>
            </w:tcBorders>
            <w:shd w:val="clear" w:color="auto" w:fill="FFFFFF"/>
            <w:vAlign w:val="center"/>
          </w:tcPr>
          <w:p w14:paraId="5D052D57"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1099" w:type="dxa"/>
            <w:vMerge/>
            <w:tcBorders>
              <w:left w:val="single" w:sz="4" w:space="0" w:color="000000"/>
              <w:bottom w:val="single" w:sz="4" w:space="0" w:color="000000"/>
              <w:right w:val="single" w:sz="4" w:space="0" w:color="000000"/>
            </w:tcBorders>
            <w:shd w:val="clear" w:color="auto" w:fill="FFFFFF"/>
            <w:vAlign w:val="center"/>
          </w:tcPr>
          <w:p w14:paraId="2AA953D3"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884" w:type="dxa"/>
            <w:vMerge/>
            <w:tcBorders>
              <w:left w:val="single" w:sz="4" w:space="0" w:color="000000"/>
              <w:bottom w:val="single" w:sz="4" w:space="0" w:color="000000"/>
              <w:right w:val="single" w:sz="4" w:space="0" w:color="000000"/>
            </w:tcBorders>
            <w:shd w:val="clear" w:color="auto" w:fill="FFFFFF"/>
            <w:vAlign w:val="center"/>
          </w:tcPr>
          <w:p w14:paraId="3D018ABD"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944" w:type="dxa"/>
            <w:vMerge/>
            <w:tcBorders>
              <w:left w:val="single" w:sz="4" w:space="0" w:color="000000"/>
              <w:bottom w:val="single" w:sz="4" w:space="0" w:color="000000"/>
              <w:right w:val="single" w:sz="4" w:space="0" w:color="000000"/>
            </w:tcBorders>
            <w:shd w:val="clear" w:color="auto" w:fill="FFFFFF"/>
            <w:vAlign w:val="center"/>
          </w:tcPr>
          <w:p w14:paraId="7F343A44"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1110" w:type="dxa"/>
            <w:vMerge/>
            <w:tcBorders>
              <w:left w:val="single" w:sz="4" w:space="0" w:color="000000"/>
              <w:bottom w:val="single" w:sz="4" w:space="0" w:color="000000"/>
              <w:right w:val="single" w:sz="4" w:space="0" w:color="000000"/>
            </w:tcBorders>
            <w:shd w:val="clear" w:color="auto" w:fill="FFFFFF"/>
            <w:vAlign w:val="center"/>
          </w:tcPr>
          <w:p w14:paraId="11AC3918"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71700E6"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直接取消审批</w:t>
            </w: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88A2D5A"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审批改为备案</w:t>
            </w: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7FABF92"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实行告知承诺</w:t>
            </w:r>
          </w:p>
        </w:tc>
        <w:tc>
          <w:tcPr>
            <w:tcW w:w="64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99410C5" w14:textId="77777777" w:rsidR="00A427EE" w:rsidRDefault="00A427EE" w:rsidP="003B465A">
            <w:pPr>
              <w:widowControl/>
              <w:spacing w:line="240" w:lineRule="exact"/>
              <w:jc w:val="center"/>
              <w:textAlignment w:val="center"/>
              <w:rPr>
                <w:rFonts w:ascii="Times New Roman" w:eastAsia="宋体" w:hAnsi="Times New Roman"/>
                <w:color w:val="000000"/>
                <w:w w:val="80"/>
                <w:kern w:val="0"/>
                <w:sz w:val="19"/>
                <w:szCs w:val="19"/>
                <w:lang w:bidi="ar"/>
              </w:rPr>
            </w:pPr>
            <w:r>
              <w:rPr>
                <w:rFonts w:ascii="Times New Roman" w:eastAsia="宋体" w:hAnsi="Times New Roman"/>
                <w:color w:val="000000"/>
                <w:w w:val="80"/>
                <w:kern w:val="0"/>
                <w:sz w:val="19"/>
                <w:szCs w:val="19"/>
                <w:lang w:bidi="ar"/>
              </w:rPr>
              <w:t>优化审批服务</w:t>
            </w:r>
          </w:p>
        </w:tc>
        <w:tc>
          <w:tcPr>
            <w:tcW w:w="2193" w:type="dxa"/>
            <w:vMerge/>
            <w:tcBorders>
              <w:left w:val="single" w:sz="4" w:space="0" w:color="000000"/>
              <w:bottom w:val="single" w:sz="4" w:space="0" w:color="000000"/>
              <w:right w:val="single" w:sz="4" w:space="0" w:color="000000"/>
            </w:tcBorders>
            <w:shd w:val="clear" w:color="auto" w:fill="FFFFFF"/>
            <w:vAlign w:val="center"/>
          </w:tcPr>
          <w:p w14:paraId="1054090C" w14:textId="77777777" w:rsidR="00A427EE" w:rsidRDefault="00A427EE" w:rsidP="003B465A">
            <w:pPr>
              <w:widowControl/>
              <w:jc w:val="left"/>
              <w:textAlignment w:val="center"/>
              <w:rPr>
                <w:rFonts w:ascii="Times New Roman" w:eastAsia="宋体" w:hAnsi="Times New Roman"/>
                <w:color w:val="000000"/>
                <w:kern w:val="0"/>
                <w:sz w:val="20"/>
                <w:lang w:bidi="ar"/>
              </w:rPr>
            </w:pPr>
          </w:p>
        </w:tc>
        <w:tc>
          <w:tcPr>
            <w:tcW w:w="3598" w:type="dxa"/>
            <w:vMerge/>
            <w:tcBorders>
              <w:left w:val="single" w:sz="4" w:space="0" w:color="000000"/>
              <w:bottom w:val="single" w:sz="4" w:space="0" w:color="000000"/>
              <w:right w:val="single" w:sz="4" w:space="0" w:color="000000"/>
            </w:tcBorders>
            <w:shd w:val="clear" w:color="auto" w:fill="FFFFFF"/>
            <w:vAlign w:val="center"/>
          </w:tcPr>
          <w:p w14:paraId="02EBBCAC" w14:textId="77777777" w:rsidR="00A427EE" w:rsidRDefault="00A427EE" w:rsidP="003B465A">
            <w:pPr>
              <w:widowControl/>
              <w:jc w:val="left"/>
              <w:textAlignment w:val="center"/>
              <w:rPr>
                <w:rFonts w:ascii="Times New Roman" w:eastAsia="宋体" w:hAnsi="Times New Roman"/>
                <w:color w:val="000000"/>
                <w:kern w:val="0"/>
                <w:sz w:val="20"/>
                <w:lang w:bidi="ar"/>
              </w:rPr>
            </w:pPr>
          </w:p>
        </w:tc>
      </w:tr>
      <w:tr w:rsidR="00A427EE" w14:paraId="5FF79DCA" w14:textId="77777777" w:rsidTr="003B465A">
        <w:trPr>
          <w:trHeight w:val="3155"/>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300D1"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6</w:t>
            </w:r>
          </w:p>
        </w:tc>
        <w:tc>
          <w:tcPr>
            <w:tcW w:w="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334AE"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省畜牧兽医局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8E07D"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家畜定点屠宰许可</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8D6D4"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家畜定点屠宰许可证</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65E6D"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《甘肃省家畜屠宰管理办法》</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6C83"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市、县级人民政府</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CD388"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BB849"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9A4FB"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B1C11"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0A978"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将审批时限由</w:t>
            </w:r>
            <w:r>
              <w:rPr>
                <w:rFonts w:ascii="Times New Roman" w:eastAsia="宋体" w:hAnsi="Times New Roman"/>
                <w:color w:val="000000"/>
                <w:kern w:val="0"/>
                <w:sz w:val="20"/>
                <w:lang w:bidi="ar"/>
              </w:rPr>
              <w:t>20</w:t>
            </w:r>
            <w:r>
              <w:rPr>
                <w:rFonts w:ascii="Times New Roman" w:eastAsia="宋体" w:hAnsi="Times New Roman"/>
                <w:color w:val="000000"/>
                <w:kern w:val="0"/>
                <w:sz w:val="20"/>
                <w:lang w:bidi="ar"/>
              </w:rPr>
              <w:t>个工作日压减至</w:t>
            </w:r>
            <w:r>
              <w:rPr>
                <w:rFonts w:ascii="Times New Roman" w:eastAsia="宋体" w:hAnsi="Times New Roman"/>
                <w:color w:val="000000"/>
                <w:kern w:val="0"/>
                <w:sz w:val="20"/>
                <w:lang w:bidi="ar"/>
              </w:rPr>
              <w:t>15</w:t>
            </w:r>
            <w:r>
              <w:rPr>
                <w:rFonts w:ascii="Times New Roman" w:eastAsia="宋体" w:hAnsi="Times New Roman"/>
                <w:color w:val="000000"/>
                <w:kern w:val="0"/>
                <w:sz w:val="20"/>
                <w:lang w:bidi="ar"/>
              </w:rPr>
              <w:t>个工作日。</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不再要求申请人提供动物防疫条件合格证，改为内部核查。</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22CA6"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持续开展定点屠宰资格审查，对违反有关法律法规及国家屠宰标准的企业及时责令整改。</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强化社会监督，依法及时处理投诉举报。</w:t>
            </w:r>
          </w:p>
        </w:tc>
      </w:tr>
      <w:tr w:rsidR="00A427EE" w14:paraId="6524D093" w14:textId="77777777" w:rsidTr="003B465A">
        <w:trPr>
          <w:trHeight w:val="3554"/>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4525"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7</w:t>
            </w:r>
          </w:p>
        </w:tc>
        <w:tc>
          <w:tcPr>
            <w:tcW w:w="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27276"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省气象局</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DE06C"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从事气象科技服务的审批</w:t>
            </w:r>
          </w:p>
        </w:tc>
        <w:tc>
          <w:tcPr>
            <w:tcW w:w="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7AFC"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无</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D0AA"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《甘肃省气象条例》</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2EFA9"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省气象局；市、县级气象部门</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1016E"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0CD67"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4A63C" w14:textId="77777777" w:rsidR="00A427EE" w:rsidRDefault="00A427EE" w:rsidP="003B465A">
            <w:pPr>
              <w:jc w:val="center"/>
              <w:rPr>
                <w:rFonts w:ascii="Times New Roman" w:eastAsia="宋体" w:hAnsi="Times New Roman"/>
                <w:color w:val="000000"/>
                <w:sz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A2005" w14:textId="77777777" w:rsidR="00A427EE" w:rsidRDefault="00A427EE" w:rsidP="003B465A">
            <w:pPr>
              <w:widowControl/>
              <w:jc w:val="center"/>
              <w:textAlignment w:val="center"/>
              <w:rPr>
                <w:rFonts w:ascii="Times New Roman" w:eastAsia="宋体" w:hAnsi="Times New Roman"/>
                <w:color w:val="000000"/>
                <w:sz w:val="20"/>
              </w:rPr>
            </w:pPr>
            <w:r>
              <w:rPr>
                <w:rFonts w:ascii="Times New Roman" w:eastAsia="宋体" w:hAnsi="Times New Roman"/>
                <w:color w:val="000000"/>
                <w:kern w:val="0"/>
                <w:sz w:val="20"/>
                <w:lang w:bidi="ar"/>
              </w:rPr>
              <w:t>√</w:t>
            </w:r>
          </w:p>
        </w:tc>
        <w:tc>
          <w:tcPr>
            <w:tcW w:w="21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B1996"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简化受理材料，申请人提交《从事气象科技服务申请表》，即可当场办结。</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16B0E" w14:textId="77777777" w:rsidR="00A427EE" w:rsidRDefault="00A427EE" w:rsidP="003B465A">
            <w:pPr>
              <w:widowControl/>
              <w:jc w:val="left"/>
              <w:textAlignment w:val="center"/>
              <w:rPr>
                <w:rFonts w:ascii="Times New Roman" w:eastAsia="宋体" w:hAnsi="Times New Roman"/>
                <w:color w:val="000000"/>
                <w:sz w:val="20"/>
              </w:rPr>
            </w:pPr>
            <w:r>
              <w:rPr>
                <w:rFonts w:ascii="Times New Roman" w:eastAsia="宋体" w:hAnsi="Times New Roman"/>
                <w:color w:val="000000"/>
                <w:kern w:val="0"/>
                <w:sz w:val="20"/>
                <w:lang w:bidi="ar"/>
              </w:rPr>
              <w:t>1.</w:t>
            </w:r>
            <w:r>
              <w:rPr>
                <w:rFonts w:ascii="Times New Roman" w:eastAsia="宋体" w:hAnsi="Times New Roman"/>
                <w:color w:val="000000"/>
                <w:kern w:val="0"/>
                <w:sz w:val="20"/>
                <w:lang w:bidi="ar"/>
              </w:rPr>
              <w:t>通过</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双随机、</w:t>
            </w:r>
            <w:proofErr w:type="gramStart"/>
            <w:r>
              <w:rPr>
                <w:rFonts w:ascii="Times New Roman" w:eastAsia="宋体" w:hAnsi="Times New Roman"/>
                <w:color w:val="000000"/>
                <w:kern w:val="0"/>
                <w:sz w:val="20"/>
                <w:lang w:bidi="ar"/>
              </w:rPr>
              <w:t>一</w:t>
            </w:r>
            <w:proofErr w:type="gramEnd"/>
            <w:r>
              <w:rPr>
                <w:rFonts w:ascii="Times New Roman" w:eastAsia="宋体" w:hAnsi="Times New Roman"/>
                <w:color w:val="000000"/>
                <w:kern w:val="0"/>
                <w:sz w:val="20"/>
                <w:lang w:bidi="ar"/>
              </w:rPr>
              <w:t>公开</w:t>
            </w:r>
            <w:r>
              <w:rPr>
                <w:rFonts w:ascii="Times New Roman" w:eastAsia="宋体" w:hAnsi="Times New Roman"/>
                <w:color w:val="000000"/>
                <w:kern w:val="0"/>
                <w:sz w:val="20"/>
                <w:lang w:bidi="ar"/>
              </w:rPr>
              <w:t>”</w:t>
            </w:r>
            <w:r>
              <w:rPr>
                <w:rFonts w:ascii="Times New Roman" w:eastAsia="宋体" w:hAnsi="Times New Roman"/>
                <w:color w:val="000000"/>
                <w:kern w:val="0"/>
                <w:sz w:val="20"/>
                <w:lang w:bidi="ar"/>
              </w:rPr>
              <w:t>监管，对从事气象科技服务企业严格监管，发现违法行为将依法查处并公开结果。</w:t>
            </w:r>
            <w:r>
              <w:rPr>
                <w:rFonts w:ascii="Times New Roman" w:eastAsia="宋体" w:hAnsi="Times New Roman"/>
                <w:color w:val="000000"/>
                <w:kern w:val="0"/>
                <w:sz w:val="20"/>
                <w:lang w:bidi="ar"/>
              </w:rPr>
              <w:t>2.</w:t>
            </w:r>
            <w:r>
              <w:rPr>
                <w:rFonts w:ascii="Times New Roman" w:eastAsia="宋体" w:hAnsi="Times New Roman"/>
                <w:color w:val="000000"/>
                <w:kern w:val="0"/>
                <w:sz w:val="20"/>
                <w:lang w:bidi="ar"/>
              </w:rPr>
              <w:t>加强对从事气象科技服务市场主体的法律法规宣传。</w:t>
            </w:r>
          </w:p>
        </w:tc>
      </w:tr>
    </w:tbl>
    <w:p w14:paraId="1D810B40" w14:textId="77777777" w:rsidR="00F57873" w:rsidRPr="00A427EE" w:rsidRDefault="00F57873"/>
    <w:sectPr w:rsidR="00F57873" w:rsidRPr="00A427EE" w:rsidSect="00A427EE">
      <w:pgSz w:w="16838" w:h="11906" w:orient="landscape"/>
      <w:pgMar w:top="1701" w:right="1814"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EE"/>
    <w:rsid w:val="00166DD8"/>
    <w:rsid w:val="009478FA"/>
    <w:rsid w:val="00A427EE"/>
    <w:rsid w:val="00F5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FD56"/>
  <w15:chartTrackingRefBased/>
  <w15:docId w15:val="{8B106BE8-F732-47D5-81D9-678444AE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427EE"/>
    <w:pPr>
      <w:widowControl w:val="0"/>
      <w:jc w:val="both"/>
    </w:pPr>
    <w:rPr>
      <w:rFonts w:ascii="Calibri" w:eastAsia="仿宋_GB2312"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A427EE"/>
    <w:pPr>
      <w:spacing w:after="120" w:line="480" w:lineRule="auto"/>
      <w:ind w:leftChars="200" w:left="420"/>
    </w:pPr>
  </w:style>
  <w:style w:type="character" w:customStyle="1" w:styleId="20">
    <w:name w:val="正文文本缩进 2 字符"/>
    <w:basedOn w:val="a0"/>
    <w:link w:val="2"/>
    <w:uiPriority w:val="99"/>
    <w:semiHidden/>
    <w:rsid w:val="00A427EE"/>
    <w:rPr>
      <w:rFonts w:ascii="Calibri" w:eastAsia="仿宋_GB2312" w:hAnsi="Calibri"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mao</dc:creator>
  <cp:keywords/>
  <dc:description/>
  <cp:lastModifiedBy>jing mao</cp:lastModifiedBy>
  <cp:revision>2</cp:revision>
  <dcterms:created xsi:type="dcterms:W3CDTF">2021-09-06T04:04:00Z</dcterms:created>
  <dcterms:modified xsi:type="dcterms:W3CDTF">2023-11-21T07:44:00Z</dcterms:modified>
</cp:coreProperties>
</file>