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Cs w:val="32"/>
          <w:lang w:val="en-US" w:eastAsia="zh-CN"/>
        </w:rPr>
      </w:pPr>
      <w:r>
        <w:rPr>
          <w:rFonts w:hint="eastAsia" w:ascii="黑体" w:hAnsi="黑体" w:eastAsia="黑体"/>
          <w:szCs w:val="32"/>
        </w:rPr>
        <w:t>附</w:t>
      </w:r>
      <w:r>
        <w:rPr>
          <w:rFonts w:hint="eastAsia" w:ascii="黑体" w:hAnsi="黑体" w:eastAsia="黑体"/>
          <w:szCs w:val="32"/>
          <w:lang w:val="en-US" w:eastAsia="zh-CN"/>
        </w:rPr>
        <w:t>2</w:t>
      </w:r>
    </w:p>
    <w:p>
      <w:pPr>
        <w:spacing w:line="348" w:lineRule="auto"/>
        <w:jc w:val="center"/>
        <w:rPr>
          <w:rFonts w:hint="eastAsia" w:ascii="宋体" w:hAnsi="宋体"/>
          <w:b/>
          <w:bCs/>
          <w:sz w:val="44"/>
          <w:szCs w:val="44"/>
        </w:rPr>
      </w:pPr>
    </w:p>
    <w:p>
      <w:pPr>
        <w:spacing w:line="348" w:lineRule="auto"/>
        <w:jc w:val="center"/>
        <w:rPr>
          <w:rFonts w:hint="eastAsia" w:ascii="宋体" w:hAnsi="宋体"/>
          <w:b/>
          <w:bCs/>
          <w:sz w:val="44"/>
          <w:szCs w:val="44"/>
        </w:rPr>
      </w:pPr>
    </w:p>
    <w:p>
      <w:pPr>
        <w:spacing w:line="700" w:lineRule="exact"/>
        <w:jc w:val="center"/>
        <w:rPr>
          <w:rFonts w:hint="eastAsia" w:ascii="方正小标宋简体" w:hAnsi="宋体" w:eastAsia="方正小标宋简体"/>
          <w:bCs/>
          <w:sz w:val="44"/>
          <w:szCs w:val="44"/>
          <w:lang w:eastAsia="zh-CN"/>
        </w:rPr>
      </w:pPr>
      <w:r>
        <w:rPr>
          <w:rFonts w:hint="eastAsia" w:ascii="方正小标宋简体" w:hAnsi="宋体" w:eastAsia="方正小标宋简体"/>
          <w:bCs/>
          <w:sz w:val="44"/>
          <w:szCs w:val="44"/>
          <w:lang w:eastAsia="zh-CN"/>
        </w:rPr>
        <w:t>张家川县政府办</w:t>
      </w:r>
    </w:p>
    <w:p>
      <w:pPr>
        <w:spacing w:line="7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eastAsia="zh-CN"/>
        </w:rPr>
        <w:t>部门</w:t>
      </w:r>
      <w:r>
        <w:rPr>
          <w:rFonts w:hint="eastAsia" w:ascii="方正小标宋简体" w:hAnsi="宋体" w:eastAsia="方正小标宋简体"/>
          <w:bCs/>
          <w:sz w:val="44"/>
          <w:szCs w:val="44"/>
        </w:rPr>
        <w:t>整体支出绩效</w:t>
      </w:r>
      <w:r>
        <w:rPr>
          <w:rFonts w:hint="eastAsia" w:ascii="方正小标宋简体" w:hAnsi="宋体" w:eastAsia="方正小标宋简体"/>
          <w:bCs/>
          <w:sz w:val="44"/>
          <w:szCs w:val="44"/>
          <w:lang w:eastAsia="zh-CN"/>
        </w:rPr>
        <w:t>评价</w:t>
      </w:r>
      <w:r>
        <w:rPr>
          <w:rFonts w:hint="eastAsia" w:ascii="方正小标宋简体" w:hAnsi="宋体" w:eastAsia="方正小标宋简体"/>
          <w:bCs/>
          <w:sz w:val="44"/>
          <w:szCs w:val="44"/>
        </w:rPr>
        <w:t>报告</w:t>
      </w:r>
    </w:p>
    <w:p>
      <w:pPr>
        <w:spacing w:line="348" w:lineRule="auto"/>
        <w:jc w:val="center"/>
        <w:rPr>
          <w:rFonts w:hint="eastAsia" w:ascii="楷体_GB2312" w:hAnsi="宋体" w:eastAsia="楷体_GB2312"/>
          <w:bCs/>
          <w:szCs w:val="32"/>
        </w:rPr>
      </w:pPr>
    </w:p>
    <w:p>
      <w:pPr>
        <w:rPr>
          <w:rFonts w:hint="eastAsia" w:eastAsia="仿宋_GB2312"/>
          <w:b/>
        </w:rPr>
      </w:pPr>
    </w:p>
    <w:p>
      <w:pPr>
        <w:pStyle w:val="2"/>
        <w:rPr>
          <w:rFonts w:hint="eastAsia"/>
        </w:rPr>
      </w:pPr>
    </w:p>
    <w:p>
      <w:pPr>
        <w:rPr>
          <w:rFonts w:hint="eastAsia" w:eastAsia="仿宋_GB2312"/>
          <w:b/>
        </w:rPr>
      </w:pPr>
    </w:p>
    <w:p>
      <w:pPr>
        <w:rPr>
          <w:rFonts w:hint="eastAsia" w:eastAsia="仿宋_GB2312"/>
          <w:b/>
        </w:rPr>
      </w:pPr>
    </w:p>
    <w:p>
      <w:pPr>
        <w:rPr>
          <w:rFonts w:hint="eastAsia" w:eastAsia="仿宋_GB2312"/>
          <w:b/>
        </w:rPr>
      </w:pPr>
    </w:p>
    <w:p>
      <w:pPr>
        <w:ind w:firstLine="308" w:firstLineChars="147"/>
        <w:rPr>
          <w:rFonts w:hint="eastAsia" w:ascii="仿宋_GB2312" w:eastAsia="仿宋_GB2312"/>
          <w:szCs w:val="32"/>
        </w:rPr>
      </w:pPr>
      <w:r>
        <w:rPr>
          <w:rFonts w:hint="eastAsia" w:ascii="仿宋_GB2312" w:eastAsia="仿宋_GB2312"/>
          <w:szCs w:val="32"/>
        </w:rPr>
        <w:t>评价类型：部门（单位）整体评价/自评</w:t>
      </w:r>
    </w:p>
    <w:p>
      <w:pPr>
        <w:spacing w:before="217" w:beforeLines="50" w:line="348" w:lineRule="auto"/>
        <w:ind w:firstLine="315" w:firstLineChars="150"/>
        <w:rPr>
          <w:rFonts w:hint="eastAsia" w:ascii="仿宋_GB2312" w:eastAsia="仿宋_GB2312"/>
          <w:szCs w:val="32"/>
          <w:u w:val="single"/>
        </w:rPr>
      </w:pPr>
      <w:r>
        <w:rPr>
          <w:rFonts w:hint="eastAsia" w:ascii="仿宋_GB2312" w:eastAsia="仿宋_GB2312"/>
          <w:szCs w:val="32"/>
        </w:rPr>
        <w:t>主管部门</w:t>
      </w:r>
      <w:r>
        <w:rPr>
          <w:rFonts w:hint="eastAsia" w:ascii="仿宋_GB2312" w:eastAsia="仿宋_GB2312"/>
          <w:szCs w:val="32"/>
          <w:u w:val="single"/>
        </w:rPr>
        <w:t xml:space="preserve">  </w:t>
      </w:r>
      <w:r>
        <w:rPr>
          <w:rFonts w:hint="eastAsia" w:ascii="仿宋_GB2312" w:eastAsia="仿宋_GB2312"/>
          <w:szCs w:val="32"/>
          <w:u w:val="single"/>
          <w:lang w:eastAsia="zh-CN"/>
        </w:rPr>
        <w:t>张家川回族自治县人民政府</w:t>
      </w:r>
      <w:r>
        <w:rPr>
          <w:rFonts w:hint="eastAsia" w:ascii="仿宋_GB2312" w:eastAsia="仿宋_GB2312"/>
          <w:szCs w:val="32"/>
          <w:u w:val="single"/>
          <w:lang w:val="en-US" w:eastAsia="zh-CN"/>
        </w:rPr>
        <w:t xml:space="preserve">   </w:t>
      </w:r>
      <w:r>
        <w:rPr>
          <w:rFonts w:hint="eastAsia" w:ascii="仿宋_GB2312" w:eastAsia="仿宋_GB2312"/>
          <w:szCs w:val="32"/>
          <w:u w:val="single"/>
        </w:rPr>
        <w:t xml:space="preserve">  </w:t>
      </w:r>
    </w:p>
    <w:p>
      <w:pPr>
        <w:spacing w:before="217" w:beforeLines="50" w:line="348" w:lineRule="auto"/>
        <w:ind w:firstLine="315" w:firstLineChars="150"/>
        <w:rPr>
          <w:rFonts w:hint="eastAsia" w:ascii="仿宋_GB2312" w:eastAsia="仿宋_GB2312"/>
          <w:szCs w:val="32"/>
        </w:rPr>
      </w:pPr>
      <w:r>
        <w:rPr>
          <w:rFonts w:hint="eastAsia" w:ascii="仿宋_GB2312" w:eastAsia="仿宋_GB2312"/>
          <w:szCs w:val="32"/>
        </w:rPr>
        <w:t>单位名称</w:t>
      </w:r>
      <w:r>
        <w:rPr>
          <w:rFonts w:hint="eastAsia" w:ascii="仿宋_GB2312" w:eastAsia="仿宋_GB2312"/>
          <w:szCs w:val="32"/>
          <w:u w:val="single"/>
        </w:rPr>
        <w:t xml:space="preserve">  </w:t>
      </w:r>
      <w:r>
        <w:rPr>
          <w:rFonts w:hint="eastAsia" w:ascii="仿宋_GB2312" w:eastAsia="仿宋_GB2312"/>
          <w:szCs w:val="32"/>
          <w:u w:val="single"/>
          <w:lang w:eastAsia="zh-CN"/>
        </w:rPr>
        <w:t>张家川回族自治县人民政府办公室</w:t>
      </w:r>
      <w:r>
        <w:rPr>
          <w:rFonts w:hint="eastAsia" w:ascii="仿宋_GB2312" w:eastAsia="仿宋_GB2312"/>
          <w:szCs w:val="32"/>
          <w:u w:val="single"/>
        </w:rPr>
        <w:t xml:space="preserve"> </w:t>
      </w:r>
    </w:p>
    <w:p>
      <w:pPr>
        <w:spacing w:before="217" w:beforeLines="50" w:line="348" w:lineRule="auto"/>
        <w:ind w:firstLine="315" w:firstLineChars="150"/>
        <w:rPr>
          <w:rFonts w:hint="eastAsia" w:ascii="仿宋_GB2312" w:eastAsia="仿宋_GB2312"/>
          <w:szCs w:val="32"/>
        </w:rPr>
      </w:pPr>
      <w:r>
        <w:rPr>
          <w:rFonts w:hint="eastAsia" w:ascii="仿宋_GB2312" w:eastAsia="仿宋_GB2312"/>
          <w:szCs w:val="32"/>
        </w:rPr>
        <w:t>评价方式：自评</w:t>
      </w:r>
      <w:r>
        <w:rPr>
          <w:rFonts w:hint="eastAsia" w:ascii="仿宋_GB2312" w:eastAsia="仿宋_GB2312"/>
          <w:szCs w:val="32"/>
          <w:lang w:eastAsia="zh-CN"/>
        </w:rPr>
        <w:t>□</w:t>
      </w:r>
      <w:r>
        <w:rPr>
          <w:rFonts w:hint="eastAsia" w:ascii="仿宋_GB2312" w:eastAsia="仿宋_GB2312"/>
          <w:szCs w:val="32"/>
        </w:rPr>
        <w:t>/评价</w:t>
      </w:r>
      <w:r>
        <w:rPr>
          <w:rFonts w:hint="eastAsia" w:ascii="仿宋_GB2312" w:eastAsia="仿宋_GB2312"/>
          <w:szCs w:val="32"/>
          <w:lang w:eastAsia="zh-CN"/>
        </w:rPr>
        <w:t>☑</w:t>
      </w:r>
      <w:r>
        <w:rPr>
          <w:rFonts w:hint="eastAsia" w:ascii="仿宋_GB2312" w:eastAsia="仿宋_GB2312"/>
          <w:szCs w:val="32"/>
        </w:rPr>
        <w:t>/再评价□</w:t>
      </w:r>
    </w:p>
    <w:p>
      <w:pPr>
        <w:spacing w:before="217" w:beforeLines="50" w:line="348" w:lineRule="auto"/>
        <w:ind w:firstLine="315" w:firstLineChars="150"/>
        <w:rPr>
          <w:rFonts w:hint="eastAsia" w:ascii="仿宋_GB2312" w:eastAsia="仿宋_GB2312"/>
          <w:szCs w:val="32"/>
        </w:rPr>
      </w:pPr>
      <w:r>
        <w:rPr>
          <w:rFonts w:hint="eastAsia" w:ascii="仿宋_GB2312" w:eastAsia="仿宋_GB2312"/>
          <w:szCs w:val="32"/>
        </w:rPr>
        <w:t>评价机构：部门（单位）评价组</w:t>
      </w:r>
      <w:r>
        <w:rPr>
          <w:rFonts w:hint="eastAsia" w:ascii="仿宋_GB2312" w:eastAsia="仿宋_GB2312"/>
          <w:szCs w:val="32"/>
          <w:lang w:eastAsia="zh-CN"/>
        </w:rPr>
        <w:t>☑</w:t>
      </w:r>
      <w:r>
        <w:rPr>
          <w:rFonts w:hint="eastAsia" w:ascii="仿宋_GB2312" w:eastAsia="仿宋_GB2312"/>
          <w:szCs w:val="32"/>
        </w:rPr>
        <w:t>/第三方机构□</w:t>
      </w:r>
    </w:p>
    <w:p>
      <w:pPr>
        <w:spacing w:before="217" w:beforeLines="50" w:line="348" w:lineRule="auto"/>
        <w:jc w:val="center"/>
        <w:rPr>
          <w:rFonts w:hint="eastAsia" w:ascii="仿宋_GB2312" w:eastAsia="仿宋_GB2312"/>
          <w:szCs w:val="32"/>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0"/>
          <w:szCs w:val="40"/>
          <w:lang w:eastAsia="zh-CN"/>
        </w:rPr>
      </w:pPr>
    </w:p>
    <w:p>
      <w:pPr>
        <w:pStyle w:val="2"/>
        <w:rPr>
          <w:rFonts w:hint="eastAsia" w:ascii="方正小标宋简体" w:hAnsi="方正小标宋简体" w:eastAsia="方正小标宋简体" w:cs="方正小标宋简体"/>
          <w:b w:val="0"/>
          <w:bCs w:val="0"/>
          <w:sz w:val="40"/>
          <w:szCs w:val="40"/>
          <w:lang w:eastAsia="zh-CN"/>
        </w:rPr>
      </w:pPr>
    </w:p>
    <w:p>
      <w:pPr>
        <w:pStyle w:val="2"/>
        <w:rPr>
          <w:rFonts w:hint="eastAsia" w:ascii="方正小标宋简体" w:hAnsi="方正小标宋简体" w:eastAsia="方正小标宋简体" w:cs="方正小标宋简体"/>
          <w:b w:val="0"/>
          <w:bCs w:val="0"/>
          <w:sz w:val="40"/>
          <w:szCs w:val="40"/>
          <w:lang w:eastAsia="zh-CN"/>
        </w:rPr>
      </w:pPr>
    </w:p>
    <w:p>
      <w:pPr>
        <w:pStyle w:val="2"/>
        <w:rPr>
          <w:rFonts w:hint="eastAsia" w:ascii="方正小标宋简体" w:hAnsi="方正小标宋简体" w:eastAsia="方正小标宋简体" w:cs="方正小标宋简体"/>
          <w:b w:val="0"/>
          <w:bCs w:val="0"/>
          <w:sz w:val="40"/>
          <w:szCs w:val="40"/>
          <w:lang w:eastAsia="zh-CN"/>
        </w:rPr>
      </w:pPr>
    </w:p>
    <w:p>
      <w:pPr>
        <w:pStyle w:val="2"/>
        <w:rPr>
          <w:rFonts w:hint="eastAsia" w:ascii="方正小标宋简体" w:hAnsi="方正小标宋简体" w:eastAsia="方正小标宋简体" w:cs="方正小标宋简体"/>
          <w:b w:val="0"/>
          <w:bCs w:val="0"/>
          <w:sz w:val="40"/>
          <w:szCs w:val="40"/>
          <w:lang w:eastAsia="zh-CN"/>
        </w:rPr>
      </w:pPr>
    </w:p>
    <w:p>
      <w:pPr>
        <w:pStyle w:val="2"/>
        <w:keepNext w:val="0"/>
        <w:keepLines w:val="0"/>
        <w:pageBreakBefore w:val="0"/>
        <w:widowControl/>
        <w:kinsoku/>
        <w:wordWrap/>
        <w:overflowPunct/>
        <w:topLinePunct w:val="0"/>
        <w:autoSpaceDE/>
        <w:autoSpaceDN/>
        <w:bidi w:val="0"/>
        <w:adjustRightInd/>
        <w:snapToGrid/>
        <w:spacing w:line="576" w:lineRule="exact"/>
        <w:ind w:left="0" w:leftChars="0" w:firstLine="0" w:firstLineChars="0"/>
        <w:textAlignment w:val="auto"/>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张家川县政府办</w:t>
      </w:r>
      <w:r>
        <w:rPr>
          <w:rFonts w:hint="eastAsia" w:ascii="方正小标宋简体" w:hAnsi="方正小标宋简体" w:eastAsia="方正小标宋简体" w:cs="方正小标宋简体"/>
          <w:b w:val="0"/>
          <w:bCs w:val="0"/>
          <w:sz w:val="40"/>
          <w:szCs w:val="40"/>
          <w:lang w:val="en-US" w:eastAsia="zh-CN"/>
        </w:rPr>
        <w:t>部门整体支出</w:t>
      </w:r>
      <w:r>
        <w:rPr>
          <w:rFonts w:hint="eastAsia" w:ascii="方正小标宋简体" w:hAnsi="方正小标宋简体" w:eastAsia="方正小标宋简体" w:cs="方正小标宋简体"/>
          <w:b w:val="0"/>
          <w:bCs w:val="0"/>
          <w:sz w:val="40"/>
          <w:szCs w:val="40"/>
        </w:rPr>
        <w:t>绩效评价报告</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2023年度</w:t>
      </w:r>
      <w:r>
        <w:rPr>
          <w:rFonts w:hint="eastAsia" w:ascii="楷体_GB2312" w:hAnsi="楷体_GB2312" w:eastAsia="楷体_GB2312" w:cs="楷体_GB2312"/>
          <w:sz w:val="32"/>
          <w:szCs w:val="32"/>
          <w:lang w:eastAsia="zh-CN"/>
        </w:rPr>
        <w:t>）</w:t>
      </w:r>
    </w:p>
    <w:p>
      <w:pPr>
        <w:ind w:firstLine="640" w:firstLineChars="200"/>
        <w:jc w:val="left"/>
        <w:rPr>
          <w:rFonts w:ascii="黑体" w:hAnsi="黑体" w:eastAsia="黑体"/>
          <w:sz w:val="32"/>
          <w:szCs w:val="32"/>
        </w:rPr>
      </w:pPr>
      <w:r>
        <w:rPr>
          <w:rFonts w:hint="eastAsia" w:ascii="黑体" w:hAnsi="黑体" w:eastAsia="黑体"/>
          <w:sz w:val="32"/>
          <w:szCs w:val="32"/>
        </w:rPr>
        <w:t>一、部门职责</w:t>
      </w:r>
    </w:p>
    <w:p>
      <w:pPr>
        <w:spacing w:line="600" w:lineRule="exact"/>
        <w:ind w:firstLine="720" w:firstLineChars="225"/>
        <w:rPr>
          <w:rFonts w:ascii="仿宋_GB2312" w:hAnsi="仿宋_GB2312" w:eastAsia="仿宋_GB2312"/>
          <w:sz w:val="32"/>
        </w:rPr>
      </w:pPr>
      <w:r>
        <w:rPr>
          <w:rFonts w:hint="eastAsia" w:ascii="仿宋_GB2312" w:hAnsi="仿宋_GB2312" w:eastAsia="仿宋_GB2312"/>
          <w:sz w:val="32"/>
        </w:rPr>
        <w:t>（一）贯彻党中央、国务院、省委、省政府、市委、市政府的方针政策，以及县委、县政府工作计划和决策，协调和参与制定全县经济社会发展规划与有关政策，督促检查各部门、各乡镇贯彻落实县委、县政府决策部署，指导协调部门工作。</w:t>
      </w:r>
      <w:r>
        <w:rPr>
          <w:rFonts w:hint="eastAsia" w:ascii="仿宋_GB2312" w:hAnsi="仿宋_GB2312" w:eastAsia="仿宋_GB2312"/>
          <w:sz w:val="32"/>
        </w:rPr>
        <w:br w:type="textWrapping"/>
      </w:r>
      <w:r>
        <w:rPr>
          <w:rFonts w:hint="eastAsia" w:ascii="仿宋_GB2312" w:hAnsi="仿宋_GB2312" w:eastAsia="仿宋_GB2312"/>
          <w:sz w:val="32"/>
        </w:rPr>
        <w:t xml:space="preserve">    （二）根据县政府工作部署和重点，组织调查研究，收集工作情况，进行信息综合分析处理，根据工作进展情况和形势发展变化，提出工作意见和建议，为政府科学决策做好基础性服务工作，负责县政府目标责任制考核奖惩工作。</w:t>
      </w:r>
      <w:r>
        <w:rPr>
          <w:rFonts w:hint="eastAsia" w:ascii="仿宋_GB2312" w:hAnsi="仿宋_GB2312" w:eastAsia="仿宋_GB2312"/>
          <w:sz w:val="32"/>
        </w:rPr>
        <w:br w:type="textWrapping"/>
      </w:r>
      <w:r>
        <w:rPr>
          <w:rFonts w:hint="eastAsia" w:ascii="仿宋_GB2312" w:hAnsi="仿宋_GB2312" w:eastAsia="仿宋_GB2312"/>
          <w:sz w:val="32"/>
        </w:rPr>
        <w:t xml:space="preserve">    （三）负责处理县政府的日常事务和政务，协助县政府领导搞好部门、乡镇、驻县单位的工作协调，协助县政府领导处理各部门、各乡镇请示县政府解决的各类问题以及突发事件。</w:t>
      </w:r>
      <w:r>
        <w:rPr>
          <w:rFonts w:hint="eastAsia" w:ascii="仿宋_GB2312" w:hAnsi="仿宋_GB2312" w:eastAsia="仿宋_GB2312"/>
          <w:sz w:val="32"/>
        </w:rPr>
        <w:br w:type="textWrapping"/>
      </w:r>
      <w:r>
        <w:rPr>
          <w:rFonts w:hint="eastAsia" w:ascii="仿宋_GB2312" w:hAnsi="仿宋_GB2312" w:eastAsia="仿宋_GB2312"/>
          <w:sz w:val="32"/>
        </w:rPr>
        <w:t xml:space="preserve">    （四）承担县政府党组会议、常务会议、县长办公会议、全体会议和县政府领导召集的其它会议的筹备、组织、协调、服务工作,负责议定事项的催办,督办落实。</w:t>
      </w:r>
      <w:r>
        <w:rPr>
          <w:rFonts w:hint="eastAsia" w:ascii="仿宋_GB2312" w:hAnsi="仿宋_GB2312" w:eastAsia="仿宋_GB2312"/>
          <w:sz w:val="32"/>
        </w:rPr>
        <w:br w:type="textWrapping"/>
      </w:r>
      <w:r>
        <w:rPr>
          <w:rFonts w:hint="eastAsia" w:ascii="仿宋_GB2312" w:hAnsi="仿宋_GB2312" w:eastAsia="仿宋_GB2312"/>
          <w:sz w:val="32"/>
        </w:rPr>
        <w:t xml:space="preserve">    （五）承担各级各类文件、电报、函件的处理，负责县政府领导和县政府办公室文件以及县政府领导的重要报告、讲话、汇报材料的起草、审核、印制和传递工作。</w:t>
      </w:r>
      <w:r>
        <w:rPr>
          <w:rFonts w:hint="eastAsia" w:ascii="仿宋_GB2312" w:hAnsi="仿宋_GB2312" w:eastAsia="仿宋_GB2312"/>
          <w:sz w:val="32"/>
        </w:rPr>
        <w:br w:type="textWrapping"/>
      </w:r>
      <w:r>
        <w:rPr>
          <w:rFonts w:hint="eastAsia" w:ascii="仿宋_GB2312" w:hAnsi="仿宋_GB2312" w:eastAsia="仿宋_GB2312"/>
          <w:sz w:val="32"/>
        </w:rPr>
        <w:t xml:space="preserve">    （六）负责通知、协调、安排县政府领导的重要公务活动。</w:t>
      </w:r>
      <w:r>
        <w:rPr>
          <w:rFonts w:hint="eastAsia" w:ascii="仿宋_GB2312" w:hAnsi="仿宋_GB2312" w:eastAsia="仿宋_GB2312"/>
          <w:sz w:val="32"/>
        </w:rPr>
        <w:br w:type="textWrapping"/>
      </w:r>
      <w:r>
        <w:rPr>
          <w:rFonts w:hint="eastAsia" w:ascii="仿宋_GB2312" w:hAnsi="仿宋_GB2312" w:eastAsia="仿宋_GB2312"/>
          <w:sz w:val="32"/>
        </w:rPr>
        <w:t xml:space="preserve">    （七）负责指导全县应急管理、应急体系建设和政务值班工作。</w:t>
      </w:r>
    </w:p>
    <w:p>
      <w:pPr>
        <w:spacing w:line="600" w:lineRule="exact"/>
        <w:ind w:firstLine="720" w:firstLineChars="225"/>
        <w:rPr>
          <w:rFonts w:ascii="仿宋_GB2312" w:hAnsi="仿宋_GB2312" w:eastAsia="仿宋_GB2312"/>
          <w:sz w:val="32"/>
        </w:rPr>
      </w:pPr>
      <w:r>
        <w:rPr>
          <w:rFonts w:hint="eastAsia" w:ascii="仿宋_GB2312" w:hAnsi="仿宋_GB2312" w:eastAsia="仿宋_GB2312"/>
          <w:sz w:val="32"/>
        </w:rPr>
        <w:t>（八）组织承办全国、省、市、县人大代表和政协委员的建议意见和提案,做好协调督办，落实反馈工作。</w:t>
      </w:r>
      <w:r>
        <w:rPr>
          <w:rFonts w:hint="eastAsia" w:ascii="仿宋_GB2312" w:hAnsi="仿宋_GB2312" w:eastAsia="仿宋_GB2312"/>
          <w:sz w:val="32"/>
        </w:rPr>
        <w:br w:type="textWrapping"/>
      </w:r>
      <w:r>
        <w:rPr>
          <w:rFonts w:hint="eastAsia" w:ascii="仿宋_GB2312" w:hAnsi="仿宋_GB2312" w:eastAsia="仿宋_GB2312"/>
          <w:sz w:val="32"/>
        </w:rPr>
        <w:t xml:space="preserve">    （九）负责县政府法制工作，承担全县依法行政的统筹规划、综合协调、督促指导、政策研究和情况交流工作；组织全县依法行政工作目标责任考核；承担县政府在法律事务方面的参谋助手和法律顾问职责。</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（十）依据国家有关保密工作的政策和法规，指导政府系统保密工作并做好检查督促工作。</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（十一）负责指导、监督全县政务信息公开工作。</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（十二）指导全县政府系统办公部门公文处理和全县电子政务建设工作。</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三)负责县乡公共机构的节能管理工作，负责县政府机关后勤管理和安全保卫工作。承担县政府及办公室与对口单位来宾的联络接待工作，负责县政府机关基层党建工作，管理县政府机关基层工会，协调配合搞好机关精神文明及妇联、共青团工作。</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（十四）负责追究健全外事管理工作联席会议和小范围协调机制。</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（十五）负责县政府经济顾问、法律顾问的聘任工作。</w:t>
      </w:r>
    </w:p>
    <w:p>
      <w:pPr>
        <w:spacing w:line="600" w:lineRule="exact"/>
        <w:ind w:firstLine="640" w:firstLineChars="200"/>
        <w:jc w:val="left"/>
        <w:rPr>
          <w:rFonts w:ascii="仿宋_GB2312" w:hAnsi="仿宋_GB2312" w:eastAsia="仿宋_GB2312"/>
          <w:sz w:val="32"/>
        </w:rPr>
      </w:pPr>
      <w:r>
        <w:rPr>
          <w:rFonts w:hint="eastAsia" w:ascii="仿宋_GB2312" w:hAnsi="仿宋_GB2312" w:eastAsia="仿宋_GB2312"/>
          <w:sz w:val="32"/>
        </w:rPr>
        <w:t>（十六）承办县委、县政府及上级部门交办的其他工作。</w:t>
      </w:r>
    </w:p>
    <w:p>
      <w:pPr>
        <w:spacing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lang w:val="en-US" w:eastAsia="zh-CN"/>
        </w:rPr>
        <w:t>二、机构设置</w:t>
      </w:r>
    </w:p>
    <w:p>
      <w:pPr>
        <w:spacing w:line="600" w:lineRule="exact"/>
        <w:ind w:firstLine="640" w:firstLineChars="200"/>
        <w:jc w:val="left"/>
        <w:rPr>
          <w:rFonts w:hint="eastAsia" w:ascii="仿宋_GB2312" w:hAnsi="仿宋_GB2312" w:eastAsia="仿宋_GB2312" w:cs="仿宋_GB2312"/>
          <w:i w:val="0"/>
          <w:caps w:val="0"/>
          <w:color w:val="000000"/>
          <w:spacing w:val="15"/>
          <w:sz w:val="32"/>
          <w:szCs w:val="32"/>
        </w:rPr>
      </w:pPr>
      <w:r>
        <w:rPr>
          <w:rFonts w:hint="eastAsia" w:ascii="仿宋_GB2312" w:hAnsi="仿宋_GB2312" w:eastAsia="仿宋_GB2312"/>
          <w:sz w:val="32"/>
          <w:lang w:val="en-US" w:eastAsia="zh-CN"/>
        </w:rPr>
        <w:t>政府办公室为全额预算拨款的正科级行政单位， 核定编制56名，其中：行政编制17名，事业编制30名,机关工勤编制9人。现有在职人员46人，其中行政人员12人，机关工勤9人，事业编制</w:t>
      </w:r>
      <w:r>
        <w:rPr>
          <w:rFonts w:hint="eastAsia" w:ascii="仿宋_GB2312" w:hAnsi="仿宋_GB2312" w:eastAsia="仿宋_GB2312" w:cs="仿宋_GB2312"/>
          <w:i w:val="0"/>
          <w:caps w:val="0"/>
          <w:color w:val="000000"/>
          <w:spacing w:val="15"/>
          <w:w w:val="100"/>
          <w:kern w:val="0"/>
          <w:sz w:val="32"/>
          <w:szCs w:val="32"/>
          <w:shd w:val="clear" w:fill="FFFFFF"/>
          <w:lang w:val="en-US" w:eastAsia="zh-CN" w:bidi="ar"/>
        </w:rPr>
        <w:t>人员25人；遗属抚养人员7人。</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三、部门预算收入及支出总体情况</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（一）全年收入</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2023年收入693.19万元，其中：一般公共预算拨款693.19万元,比2023年预算增加81.83万元，增加的原因是人员增加，经费增加。</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（二）全年支出</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2023年支出预算693.19万元，比2023年预算增加81.83万元，增加的原因是人员增加，经费增加。</w:t>
      </w:r>
    </w:p>
    <w:p>
      <w:pPr>
        <w:numPr>
          <w:ilvl w:val="0"/>
          <w:numId w:val="1"/>
        </w:num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基本支出</w:t>
      </w:r>
    </w:p>
    <w:p>
      <w:pPr>
        <w:numPr>
          <w:ilvl w:val="0"/>
          <w:numId w:val="0"/>
        </w:num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2023年基本支出539.91万元，其中人员经费422.78万元，公用经费 117.13万元。比2023年预算减少44.47万元，下降的主要原因是执行厉行节约，公用经费有所调整，比例下降。</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2、项目支出</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（1）项目支出增减情况</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2023年项目支出153.28万元，与2023年预算相比增加126.28万元，主要是县庆活动，经费增加。</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（2）项目分类分级情况（涉密项目不公开）</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2023年项目支出153.28万元，其中：县乡视频会议线路租用费7万元，政府法律顾问费20万元，其他项目经费126.28万元。</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（三）政府支出功能分类指标</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1、一般公共服务568.60万元。</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2、社会保障和就业支出88.58万元。</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3.农林水支出1.30万元。</w:t>
      </w:r>
    </w:p>
    <w:p>
      <w:pPr>
        <w:spacing w:line="600" w:lineRule="exact"/>
        <w:ind w:firstLine="640" w:firstLineChars="200"/>
        <w:jc w:val="lef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4.住房保障支出27.06万元。</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（四）非税收入</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2023年本单位无非税收入。</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(五)政府性基金预算支出</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w:t>
      </w:r>
      <w:bookmarkStart w:id="16" w:name="_GoBack"/>
      <w:bookmarkEnd w:id="16"/>
      <w:r>
        <w:rPr>
          <w:rFonts w:hint="eastAsia" w:ascii="仿宋_GB2312" w:hAnsi="仿宋_GB2312" w:eastAsia="仿宋_GB2312"/>
          <w:sz w:val="32"/>
          <w:lang w:val="en-US" w:eastAsia="zh-CN"/>
        </w:rPr>
        <w:t>年本单位无政府性基金预算安排的支出。</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四、部门一般性支出、三公经费财政拨款情况</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（一）三公经费</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2023年三公经费预算6万元，比2023年预算相比无变化。其中：</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1.因公出国（境）费用0万元，与2023年预算相比无增减变化。</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2.公务接待费6万元，与2023年预算相比无增减变化</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3.公务用车购置及运行维护费0万元（其中：公务用车购置0万元，公务用车运行维护费0万元），与2022年预算相比无增减变化。</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（二）培训费</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培训费0万元，与2023年预算相比无增减变化。</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（三）会议费</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会议费0万元，与2023年预算相比无增减变化。</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（四）机关运行费</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机关运行费117.13万元，比2022年减少3.11万元，下降的主要原因是执行厉行节约，公用经费相应减少。</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五、其他重要事项情况说明</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（一）政府采购情况</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政府办公室2023年政府采购预算总额18.19万元，其 中：政府采购货物预算18.19万元。</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（二）国有资产占用情况　</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截止2023年12月31日，本部门共有车辆4辆，单位价值50万元以上通用设备0台（套），单位价值100万元以上专用设备0台（套）。</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（三）部门绩效评价进展情况</w:t>
      </w:r>
    </w:p>
    <w:p>
      <w:pPr>
        <w:spacing w:line="60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2023年预算中实行绩效目标管理的项目2个，涉及金额27万元,其中县乡视频会议线路租用费7万元，政府法律顾问费20万元，全部进行了预算的绩效目标评价。</w:t>
      </w: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spacing w:line="576"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政府法律顾问专项经费项目绩效评价报告</w:t>
      </w:r>
    </w:p>
    <w:p>
      <w:pPr>
        <w:keepNext w:val="0"/>
        <w:keepLines w:val="0"/>
        <w:pageBreakBefore w:val="0"/>
        <w:widowControl/>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为进一步推行法律顾问制度，提高依法行政、依法执政、依法管理能力水平、促进依法办事，为推动法治张家川建设提供有力保障，县政府办公室组织实施了政府法律顾问专项经费项目,现将有关情况报告如下：</w:t>
      </w:r>
      <w:r>
        <w:rPr>
          <w:rFonts w:hint="eastAsia" w:ascii="仿宋_GB2312" w:hAnsi="仿宋_GB2312" w:eastAsia="仿宋_GB2312" w:cs="仿宋_GB2312"/>
          <w:color w:val="000000"/>
          <w:kern w:val="0"/>
          <w:sz w:val="32"/>
          <w:szCs w:val="32"/>
          <w:lang w:bidi="ar"/>
        </w:rPr>
        <w:t xml:space="preserve"> </w:t>
      </w:r>
      <w:bookmarkStart w:id="0" w:name="_Toc1994083"/>
      <w:r>
        <w:rPr>
          <w:rFonts w:hint="eastAsia" w:ascii="仿宋_GB2312" w:hAnsi="仿宋_GB2312" w:eastAsia="仿宋_GB2312" w:cs="仿宋_GB2312"/>
          <w:sz w:val="32"/>
          <w:szCs w:val="32"/>
        </w:rPr>
        <w:t xml:space="preserve">           </w:t>
      </w:r>
      <w:bookmarkEnd w:id="0"/>
      <w:bookmarkStart w:id="1" w:name="_Toc1994084"/>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一、项目基本情况</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bookmarkEnd w:id="1"/>
      <w:bookmarkStart w:id="2" w:name="_Toc1994085"/>
      <w:r>
        <w:rPr>
          <w:rFonts w:hint="eastAsia" w:ascii="仿宋_GB2312" w:hAnsi="仿宋_GB2312" w:eastAsia="仿宋_GB2312" w:cs="仿宋_GB2312"/>
          <w:sz w:val="32"/>
          <w:szCs w:val="32"/>
        </w:rPr>
        <w:t>：聘请法律顾问，提供法律服务、依法维护合法权益，由我办承担法律顾问费。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tabs>
          <w:tab w:val="left" w:pos="3600"/>
        </w:tabs>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（二）项目起止时间</w:t>
      </w:r>
      <w:bookmarkEnd w:id="2"/>
      <w:bookmarkStart w:id="3" w:name="_Toc1994086"/>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bCs/>
          <w:smallCaps/>
          <w:color w:val="000000"/>
          <w:spacing w:val="5"/>
          <w:sz w:val="32"/>
          <w:szCs w:val="32"/>
        </w:rPr>
      </w:pPr>
      <w:r>
        <w:rPr>
          <w:rFonts w:hint="eastAsia" w:ascii="仿宋_GB2312" w:hAnsi="仿宋_GB2312" w:eastAsia="仿宋_GB2312" w:cs="仿宋_GB2312"/>
          <w:sz w:val="32"/>
          <w:szCs w:val="32"/>
        </w:rPr>
        <w:t>（三）项目实施计划</w:t>
      </w:r>
      <w:bookmarkEnd w:id="3"/>
      <w:bookmarkStart w:id="4" w:name="_Toc1994087"/>
      <w:r>
        <w:rPr>
          <w:rFonts w:hint="eastAsia" w:ascii="仿宋_GB2312" w:hAnsi="仿宋_GB2312" w:eastAsia="仿宋_GB2312" w:cs="仿宋_GB2312"/>
          <w:sz w:val="32"/>
          <w:szCs w:val="32"/>
        </w:rPr>
        <w:t>：法律顾问费作为专项经费，经费每年列入财政预算，由政府法律专家咨询委员会（成员由政府法制办和聘请法律专家组成）提出使用意见，并报主任会议审定后执行。（四）项目资金投入和使用情况</w:t>
      </w:r>
      <w:bookmarkEnd w:id="4"/>
      <w:r>
        <w:rPr>
          <w:rFonts w:hint="eastAsia" w:ascii="仿宋_GB2312" w:hAnsi="仿宋_GB2312" w:eastAsia="仿宋_GB2312" w:cs="仿宋_GB2312"/>
          <w:sz w:val="32"/>
          <w:szCs w:val="32"/>
        </w:rPr>
        <w:t>：投入</w:t>
      </w:r>
      <w:r>
        <w:rPr>
          <w:rFonts w:hint="eastAsia" w:ascii="仿宋_GB2312" w:hAnsi="仿宋_GB2312" w:eastAsia="仿宋_GB2312" w:cs="仿宋_GB2312"/>
          <w:kern w:val="0"/>
          <w:sz w:val="32"/>
          <w:szCs w:val="32"/>
          <w:lang w:bidi="en-US"/>
        </w:rPr>
        <w:t>政府法律顾问专项经费</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万元，全部使用。</w:t>
      </w:r>
    </w:p>
    <w:p>
      <w:pPr>
        <w:pStyle w:val="43"/>
        <w:ind w:left="0" w:leftChars="0"/>
        <w:rPr>
          <w:rFonts w:hint="eastAsia" w:ascii="仿宋_GB2312" w:hAnsi="仿宋_GB2312" w:eastAsia="仿宋_GB2312" w:cs="仿宋_GB2312"/>
          <w:lang w:eastAsia="zh-CN"/>
        </w:rPr>
      </w:pPr>
      <w:r>
        <w:rPr>
          <w:rFonts w:hint="eastAsia" w:ascii="仿宋_GB2312" w:hAnsi="仿宋_GB2312" w:eastAsia="仿宋_GB2312" w:cs="仿宋_GB2312"/>
        </w:rPr>
        <w:t>1. 资金安排情况</w:t>
      </w:r>
    </w:p>
    <w:tbl>
      <w:tblPr>
        <w:tblStyle w:val="26"/>
        <w:tblW w:w="0" w:type="auto"/>
        <w:tblInd w:w="314" w:type="dxa"/>
        <w:tblLayout w:type="fixed"/>
        <w:tblCellMar>
          <w:top w:w="0" w:type="dxa"/>
          <w:left w:w="30" w:type="dxa"/>
          <w:bottom w:w="0" w:type="dxa"/>
          <w:right w:w="30" w:type="dxa"/>
        </w:tblCellMar>
      </w:tblPr>
      <w:tblGrid>
        <w:gridCol w:w="2268"/>
        <w:gridCol w:w="1276"/>
        <w:gridCol w:w="1559"/>
        <w:gridCol w:w="1559"/>
        <w:gridCol w:w="992"/>
      </w:tblGrid>
      <w:tr>
        <w:tblPrEx>
          <w:tblCellMar>
            <w:top w:w="0" w:type="dxa"/>
            <w:left w:w="30" w:type="dxa"/>
            <w:bottom w:w="0" w:type="dxa"/>
            <w:right w:w="30" w:type="dxa"/>
          </w:tblCellMar>
        </w:tblPrEx>
        <w:trPr>
          <w:trHeight w:val="549" w:hRule="atLeast"/>
        </w:trPr>
        <w:tc>
          <w:tcPr>
            <w:tcW w:w="2268"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一、资金安排情况</w:t>
            </w:r>
          </w:p>
        </w:tc>
        <w:tc>
          <w:tcPr>
            <w:tcW w:w="1276"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预算数（元）</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占预算总数比（%）</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实际到位（元）</w:t>
            </w:r>
          </w:p>
        </w:tc>
        <w:tc>
          <w:tcPr>
            <w:tcW w:w="992" w:type="dxa"/>
            <w:tcBorders>
              <w:top w:val="single" w:color="auto" w:sz="4" w:space="0"/>
              <w:left w:val="single" w:color="auto" w:sz="4" w:space="0"/>
              <w:right w:val="single" w:color="auto" w:sz="4" w:space="0"/>
            </w:tcBorders>
            <w:shd w:val="clear" w:color="auto" w:fill="95B3D7"/>
            <w:noWrap w:val="0"/>
            <w:vAlign w:val="top"/>
          </w:tcPr>
          <w:p>
            <w:pPr>
              <w:widowControl/>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到位率</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2.88</w:t>
            </w:r>
            <w:r>
              <w:rPr>
                <w:rFonts w:hint="eastAsia" w:ascii="仿宋_GB2312" w:hAnsi="仿宋_GB2312" w:eastAsia="仿宋_GB2312" w:cs="仿宋_GB2312"/>
                <w:color w:val="000000"/>
                <w:kern w:val="0"/>
                <w:sz w:val="20"/>
                <w:szCs w:val="20"/>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中央财政资金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省级(省、自治区、直辖市)财政资金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地级市级（地级市、自治州、直辖市区）财政资金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县级（县、自治县、市、旗）财政资金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2.88</w:t>
            </w:r>
            <w:r>
              <w:rPr>
                <w:rFonts w:hint="eastAsia" w:ascii="仿宋_GB2312" w:hAnsi="仿宋_GB2312" w:eastAsia="仿宋_GB2312" w:cs="仿宋_GB2312"/>
                <w:color w:val="000000"/>
                <w:kern w:val="0"/>
                <w:sz w:val="20"/>
                <w:szCs w:val="20"/>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乡镇级财政资金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单位自筹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银行贷款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社会资本</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r>
    </w:tbl>
    <w:p>
      <w:pPr>
        <w:pStyle w:val="43"/>
        <w:ind w:left="560"/>
        <w:rPr>
          <w:rFonts w:hint="eastAsia" w:ascii="仿宋_GB2312" w:hAnsi="仿宋_GB2312" w:eastAsia="仿宋_GB2312" w:cs="仿宋_GB2312"/>
        </w:rPr>
      </w:pPr>
      <w:r>
        <w:rPr>
          <w:rFonts w:hint="eastAsia" w:ascii="仿宋_GB2312" w:hAnsi="仿宋_GB2312" w:eastAsia="仿宋_GB2312" w:cs="仿宋_GB2312"/>
        </w:rPr>
        <w:t>2. 资金使用情况</w:t>
      </w:r>
    </w:p>
    <w:tbl>
      <w:tblPr>
        <w:tblStyle w:val="26"/>
        <w:tblW w:w="0" w:type="auto"/>
        <w:tblInd w:w="314" w:type="dxa"/>
        <w:tblLayout w:type="fixed"/>
        <w:tblCellMar>
          <w:top w:w="0" w:type="dxa"/>
          <w:left w:w="30" w:type="dxa"/>
          <w:bottom w:w="0" w:type="dxa"/>
          <w:right w:w="30" w:type="dxa"/>
        </w:tblCellMar>
      </w:tblPr>
      <w:tblGrid>
        <w:gridCol w:w="2268"/>
        <w:gridCol w:w="1276"/>
        <w:gridCol w:w="1559"/>
        <w:gridCol w:w="1559"/>
        <w:gridCol w:w="992"/>
      </w:tblGrid>
      <w:tr>
        <w:tblPrEx>
          <w:tblCellMar>
            <w:top w:w="0" w:type="dxa"/>
            <w:left w:w="30" w:type="dxa"/>
            <w:bottom w:w="0" w:type="dxa"/>
            <w:right w:w="30" w:type="dxa"/>
          </w:tblCellMar>
        </w:tblPrEx>
        <w:trPr>
          <w:trHeight w:val="504" w:hRule="atLeast"/>
        </w:trPr>
        <w:tc>
          <w:tcPr>
            <w:tcW w:w="2268"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二、资金支出情况</w:t>
            </w:r>
          </w:p>
        </w:tc>
        <w:tc>
          <w:tcPr>
            <w:tcW w:w="1276"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预算数（元）</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占预算总数比（%）</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实际支出（元）</w:t>
            </w:r>
          </w:p>
        </w:tc>
        <w:tc>
          <w:tcPr>
            <w:tcW w:w="992" w:type="dxa"/>
            <w:tcBorders>
              <w:top w:val="single" w:color="auto" w:sz="4" w:space="0"/>
              <w:left w:val="single" w:color="auto" w:sz="4" w:space="0"/>
              <w:right w:val="single" w:color="auto" w:sz="4" w:space="0"/>
            </w:tcBorders>
            <w:shd w:val="clear" w:color="auto" w:fill="95B3D7"/>
            <w:noWrap w:val="0"/>
            <w:vAlign w:val="top"/>
          </w:tcPr>
          <w:p>
            <w:pPr>
              <w:widowControl/>
              <w:ind w:firstLine="0" w:firstLineChars="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执行率</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2.88</w:t>
            </w:r>
            <w:r>
              <w:rPr>
                <w:rFonts w:hint="eastAsia" w:ascii="仿宋_GB2312" w:hAnsi="仿宋_GB2312" w:eastAsia="仿宋_GB2312" w:cs="仿宋_GB2312"/>
                <w:color w:val="000000"/>
                <w:kern w:val="0"/>
                <w:sz w:val="20"/>
                <w:szCs w:val="20"/>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 %</w:t>
            </w:r>
          </w:p>
        </w:tc>
      </w:tr>
    </w:tbl>
    <w:p>
      <w:pPr>
        <w:pStyle w:val="45"/>
        <w:ind w:firstLine="640" w:firstLineChars="200"/>
        <w:rPr>
          <w:rFonts w:hint="eastAsia" w:ascii="仿宋_GB2312" w:hAnsi="仿宋_GB2312" w:eastAsia="仿宋_GB2312" w:cs="仿宋_GB2312"/>
          <w:lang w:eastAsia="zh-CN"/>
        </w:rPr>
      </w:pPr>
      <w:bookmarkStart w:id="5" w:name="_Toc1994088"/>
      <w:r>
        <w:rPr>
          <w:rFonts w:hint="eastAsia" w:ascii="仿宋_GB2312" w:hAnsi="仿宋_GB2312" w:eastAsia="仿宋_GB2312" w:cs="仿宋_GB2312"/>
        </w:rPr>
        <w:t>二、绩效目标核对和确定情况</w:t>
      </w:r>
      <w:bookmarkEnd w:id="5"/>
    </w:p>
    <w:tbl>
      <w:tblPr>
        <w:tblStyle w:val="26"/>
        <w:tblW w:w="0" w:type="auto"/>
        <w:jc w:val="center"/>
        <w:tblLayout w:type="fixed"/>
        <w:tblCellMar>
          <w:top w:w="0" w:type="dxa"/>
          <w:left w:w="108" w:type="dxa"/>
          <w:bottom w:w="0" w:type="dxa"/>
          <w:right w:w="108" w:type="dxa"/>
        </w:tblCellMar>
      </w:tblPr>
      <w:tblGrid>
        <w:gridCol w:w="1560"/>
        <w:gridCol w:w="1843"/>
        <w:gridCol w:w="2059"/>
        <w:gridCol w:w="1845"/>
        <w:gridCol w:w="1701"/>
      </w:tblGrid>
      <w:tr>
        <w:tblPrEx>
          <w:tblCellMar>
            <w:top w:w="0" w:type="dxa"/>
            <w:left w:w="108" w:type="dxa"/>
            <w:bottom w:w="0" w:type="dxa"/>
            <w:right w:w="108" w:type="dxa"/>
          </w:tblCellMar>
        </w:tblPrEx>
        <w:trPr>
          <w:trHeight w:val="728"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000000" w:fill="95B3D7"/>
            <w:noWrap w:val="0"/>
            <w:vAlign w:val="center"/>
          </w:tcPr>
          <w:p>
            <w:pPr>
              <w:widowControl/>
              <w:ind w:firstLine="0" w:firstLineChars="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内容</w:t>
            </w:r>
          </w:p>
        </w:tc>
        <w:tc>
          <w:tcPr>
            <w:tcW w:w="1843"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原定指标</w:t>
            </w:r>
          </w:p>
        </w:tc>
        <w:tc>
          <w:tcPr>
            <w:tcW w:w="2059"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原定目标值</w:t>
            </w:r>
          </w:p>
        </w:tc>
        <w:tc>
          <w:tcPr>
            <w:tcW w:w="1845"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确认后指标</w:t>
            </w:r>
          </w:p>
        </w:tc>
        <w:tc>
          <w:tcPr>
            <w:tcW w:w="1701"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确认后目标值</w:t>
            </w:r>
          </w:p>
        </w:tc>
      </w:tr>
      <w:tr>
        <w:tblPrEx>
          <w:tblCellMar>
            <w:top w:w="0" w:type="dxa"/>
            <w:left w:w="108" w:type="dxa"/>
            <w:bottom w:w="0" w:type="dxa"/>
            <w:right w:w="108" w:type="dxa"/>
          </w:tblCellMar>
        </w:tblPrEx>
        <w:trPr>
          <w:trHeight w:val="728" w:hRule="atLeast"/>
          <w:jc w:val="center"/>
        </w:trPr>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 xml:space="preserve"> 提供法律服务、依法维护合法权益，提高依法行政、依法执政、依法管理能力水平、促进依法办事</w:t>
            </w:r>
          </w:p>
        </w:tc>
        <w:tc>
          <w:tcPr>
            <w:tcW w:w="1843" w:type="dxa"/>
            <w:tcBorders>
              <w:top w:val="single" w:color="000000" w:sz="4" w:space="0"/>
              <w:left w:val="nil"/>
              <w:bottom w:val="single" w:color="000000" w:sz="4" w:space="0"/>
              <w:right w:val="single" w:color="000000" w:sz="4" w:space="0"/>
            </w:tcBorders>
            <w:noWrap w:val="0"/>
            <w:vAlign w:val="center"/>
          </w:tcPr>
          <w:p>
            <w:pPr>
              <w:ind w:firstLine="440"/>
              <w:jc w:val="left"/>
              <w:rPr>
                <w:rFonts w:hint="eastAsia" w:ascii="仿宋_GB2312" w:hAnsi="仿宋_GB2312" w:eastAsia="仿宋_GB2312" w:cs="仿宋_GB2312"/>
                <w:sz w:val="22"/>
              </w:rPr>
            </w:pPr>
            <w:r>
              <w:rPr>
                <w:rFonts w:hint="eastAsia" w:ascii="仿宋_GB2312" w:hAnsi="仿宋_GB2312" w:eastAsia="仿宋_GB2312" w:cs="仿宋_GB2312"/>
                <w:sz w:val="22"/>
              </w:rPr>
              <w:t>提供法律咨询、法律论证、复议应诉等</w:t>
            </w:r>
          </w:p>
          <w:p>
            <w:pPr>
              <w:widowControl/>
              <w:ind w:firstLine="0" w:firstLineChars="0"/>
              <w:jc w:val="left"/>
              <w:rPr>
                <w:rFonts w:hint="eastAsia" w:ascii="仿宋_GB2312" w:hAnsi="仿宋_GB2312" w:eastAsia="仿宋_GB2312" w:cs="仿宋_GB2312"/>
                <w:b/>
                <w:bCs/>
                <w:kern w:val="0"/>
                <w:sz w:val="21"/>
                <w:szCs w:val="21"/>
              </w:rPr>
            </w:pPr>
          </w:p>
        </w:tc>
        <w:tc>
          <w:tcPr>
            <w:tcW w:w="205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=30</w:t>
            </w:r>
          </w:p>
        </w:tc>
        <w:tc>
          <w:tcPr>
            <w:tcW w:w="1845" w:type="dxa"/>
            <w:tcBorders>
              <w:top w:val="single" w:color="000000" w:sz="4" w:space="0"/>
              <w:left w:val="nil"/>
              <w:bottom w:val="single" w:color="000000" w:sz="4" w:space="0"/>
              <w:right w:val="single" w:color="000000" w:sz="4" w:space="0"/>
            </w:tcBorders>
            <w:noWrap w:val="0"/>
            <w:vAlign w:val="center"/>
          </w:tcPr>
          <w:p>
            <w:pPr>
              <w:ind w:firstLine="440"/>
              <w:rPr>
                <w:rFonts w:hint="eastAsia" w:ascii="仿宋_GB2312" w:hAnsi="仿宋_GB2312" w:eastAsia="仿宋_GB2312" w:cs="仿宋_GB2312"/>
                <w:sz w:val="22"/>
              </w:rPr>
            </w:pPr>
            <w:r>
              <w:rPr>
                <w:rFonts w:hint="eastAsia" w:ascii="仿宋_GB2312" w:hAnsi="仿宋_GB2312" w:eastAsia="仿宋_GB2312" w:cs="仿宋_GB2312"/>
                <w:sz w:val="22"/>
              </w:rPr>
              <w:t>完成法律咨询、法律论证、复议应诉等</w:t>
            </w:r>
          </w:p>
        </w:tc>
        <w:tc>
          <w:tcPr>
            <w:tcW w:w="1701"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=30</w:t>
            </w:r>
          </w:p>
        </w:tc>
      </w:tr>
    </w:tbl>
    <w:p>
      <w:pPr>
        <w:pStyle w:val="45"/>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bookmarkStart w:id="6" w:name="_Toc1994089"/>
      <w:r>
        <w:rPr>
          <w:rFonts w:hint="eastAsia" w:ascii="仿宋_GB2312" w:hAnsi="仿宋_GB2312" w:eastAsia="仿宋_GB2312" w:cs="仿宋_GB2312"/>
        </w:rPr>
        <w:t>三、项目绩效情况</w:t>
      </w:r>
      <w:bookmarkEnd w:id="6"/>
      <w:bookmarkStart w:id="7" w:name="_Toc1994090"/>
    </w:p>
    <w:p>
      <w:pPr>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b/>
          <w:bCs/>
          <w:smallCaps/>
          <w:color w:val="000000"/>
          <w:spacing w:val="5"/>
          <w:sz w:val="32"/>
          <w:szCs w:val="32"/>
        </w:rPr>
      </w:pPr>
      <w:r>
        <w:rPr>
          <w:rFonts w:hint="eastAsia" w:ascii="仿宋_GB2312" w:hAnsi="仿宋_GB2312" w:eastAsia="仿宋_GB2312" w:cs="仿宋_GB2312"/>
        </w:rPr>
        <w:t>（一）完成正常的指标</w:t>
      </w:r>
      <w:bookmarkEnd w:id="7"/>
      <w:bookmarkStart w:id="8" w:name="_Toc1994091"/>
      <w:r>
        <w:rPr>
          <w:rFonts w:hint="eastAsia" w:ascii="仿宋_GB2312" w:hAnsi="仿宋_GB2312" w:eastAsia="仿宋_GB2312" w:cs="仿宋_GB2312"/>
        </w:rPr>
        <w:t>：202</w:t>
      </w:r>
      <w:r>
        <w:rPr>
          <w:rFonts w:hint="eastAsia" w:ascii="仿宋_GB2312" w:hAnsi="仿宋_GB2312" w:cs="仿宋_GB2312"/>
          <w:lang w:val="en-US" w:eastAsia="zh-CN"/>
        </w:rPr>
        <w:t>3</w:t>
      </w:r>
      <w:r>
        <w:rPr>
          <w:rFonts w:hint="eastAsia" w:ascii="仿宋_GB2312" w:hAnsi="仿宋_GB2312" w:eastAsia="仿宋_GB2312" w:cs="仿宋_GB2312"/>
        </w:rPr>
        <w:t>年下达</w:t>
      </w:r>
      <w:r>
        <w:rPr>
          <w:rFonts w:hint="eastAsia" w:ascii="仿宋_GB2312" w:hAnsi="仿宋_GB2312" w:eastAsia="仿宋_GB2312" w:cs="仿宋_GB2312"/>
          <w:kern w:val="0"/>
          <w:sz w:val="32"/>
          <w:szCs w:val="32"/>
          <w:lang w:bidi="en-US"/>
        </w:rPr>
        <w:t>政府法律顾问专项经费</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万元，提供法律服务、依法维护合法权益，提高依法行政、依法执政、依法管理能力水平、促进依法办事，为推动法治张家川建设提供有力保障。。</w:t>
      </w:r>
    </w:p>
    <w:p>
      <w:pPr>
        <w:pStyle w:val="45"/>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（二）可能存在问题的指标</w:t>
      </w:r>
      <w:bookmarkEnd w:id="8"/>
      <w:bookmarkStart w:id="9" w:name="_Toc1994092"/>
    </w:p>
    <w:p>
      <w:pPr>
        <w:pStyle w:val="45"/>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（三）分项结论</w:t>
      </w:r>
      <w:bookmarkEnd w:id="9"/>
      <w:r>
        <w:rPr>
          <w:rFonts w:hint="eastAsia" w:ascii="仿宋_GB2312" w:hAnsi="仿宋_GB2312" w:eastAsia="仿宋_GB2312" w:cs="仿宋_GB2312"/>
        </w:rPr>
        <w:t>：</w:t>
      </w:r>
      <w:r>
        <w:rPr>
          <w:rFonts w:hint="eastAsia" w:ascii="仿宋_GB2312" w:hAnsi="仿宋_GB2312" w:eastAsia="仿宋_GB2312" w:cs="仿宋_GB2312"/>
          <w:lang w:eastAsia="zh-CN"/>
        </w:rPr>
        <w:t>良好，完成了既定目标</w:t>
      </w:r>
    </w:p>
    <w:p>
      <w:pPr>
        <w:pStyle w:val="46"/>
        <w:pageBreakBefore w:val="0"/>
        <w:widowControl w:val="0"/>
        <w:kinsoku/>
        <w:wordWrap/>
        <w:overflowPunct/>
        <w:topLinePunct w:val="0"/>
        <w:autoSpaceDE/>
        <w:autoSpaceDN/>
        <w:bidi w:val="0"/>
        <w:adjustRightInd/>
        <w:snapToGrid/>
        <w:spacing w:before="0" w:after="0" w:line="576" w:lineRule="exact"/>
        <w:ind w:left="0" w:leftChars="0" w:firstLine="640" w:firstLineChars="200"/>
        <w:jc w:val="both"/>
        <w:textAlignment w:val="auto"/>
        <w:outlineLvl w:val="9"/>
        <w:rPr>
          <w:rFonts w:hint="eastAsia" w:ascii="仿宋_GB2312" w:hAnsi="仿宋_GB2312" w:eastAsia="仿宋_GB2312" w:cs="仿宋_GB2312"/>
          <w:b w:val="0"/>
          <w:sz w:val="32"/>
        </w:rPr>
      </w:pPr>
      <w:bookmarkStart w:id="10" w:name="_Toc1994093"/>
      <w:r>
        <w:rPr>
          <w:rFonts w:hint="eastAsia" w:ascii="仿宋_GB2312" w:hAnsi="仿宋_GB2312" w:eastAsia="仿宋_GB2312" w:cs="仿宋_GB2312"/>
          <w:b w:val="0"/>
          <w:sz w:val="32"/>
        </w:rPr>
        <w:t>（四）项目总体情况</w:t>
      </w:r>
      <w:bookmarkEnd w:id="10"/>
      <w:r>
        <w:rPr>
          <w:rFonts w:hint="eastAsia" w:ascii="仿宋_GB2312" w:hAnsi="仿宋_GB2312" w:eastAsia="仿宋_GB2312" w:cs="仿宋_GB2312"/>
          <w:b w:val="0"/>
          <w:sz w:val="32"/>
        </w:rPr>
        <w:t>：</w:t>
      </w:r>
      <w:r>
        <w:rPr>
          <w:rFonts w:hint="eastAsia" w:ascii="仿宋_GB2312" w:hAnsi="仿宋_GB2312" w:eastAsia="仿宋_GB2312" w:cs="仿宋_GB2312"/>
          <w:b w:val="0"/>
          <w:sz w:val="32"/>
          <w:lang w:val="en-US" w:eastAsia="zh-CN"/>
        </w:rPr>
        <w:t>202</w:t>
      </w:r>
      <w:r>
        <w:rPr>
          <w:rFonts w:hint="eastAsia" w:ascii="仿宋_GB2312" w:hAnsi="仿宋_GB2312" w:cs="仿宋_GB2312"/>
          <w:b w:val="0"/>
          <w:sz w:val="32"/>
          <w:lang w:val="en-US" w:eastAsia="zh-CN"/>
        </w:rPr>
        <w:t>3</w:t>
      </w:r>
      <w:r>
        <w:rPr>
          <w:rFonts w:hint="eastAsia" w:ascii="仿宋_GB2312" w:hAnsi="仿宋_GB2312" w:eastAsia="仿宋_GB2312" w:cs="仿宋_GB2312"/>
          <w:b w:val="0"/>
          <w:sz w:val="32"/>
          <w:lang w:val="en-US" w:eastAsia="zh-CN"/>
        </w:rPr>
        <w:t>年下达</w:t>
      </w:r>
      <w:r>
        <w:rPr>
          <w:rFonts w:hint="eastAsia" w:ascii="仿宋_GB2312" w:hAnsi="仿宋_GB2312" w:eastAsia="仿宋_GB2312" w:cs="仿宋_GB2312"/>
          <w:b w:val="0"/>
          <w:sz w:val="32"/>
        </w:rPr>
        <w:t>政府法律顾问专项经费</w:t>
      </w:r>
      <w:r>
        <w:rPr>
          <w:rFonts w:hint="eastAsia" w:ascii="仿宋_GB2312" w:hAnsi="仿宋_GB2312" w:eastAsia="仿宋_GB2312" w:cs="仿宋_GB2312"/>
          <w:b w:val="0"/>
          <w:sz w:val="32"/>
          <w:lang w:eastAsia="zh-CN"/>
        </w:rPr>
        <w:t>资金</w:t>
      </w:r>
      <w:r>
        <w:rPr>
          <w:rFonts w:hint="eastAsia" w:ascii="仿宋_GB2312" w:hAnsi="仿宋_GB2312" w:cs="仿宋_GB2312"/>
          <w:b w:val="0"/>
          <w:sz w:val="32"/>
          <w:lang w:val="en-US" w:eastAsia="zh-CN"/>
        </w:rPr>
        <w:t>20</w:t>
      </w:r>
      <w:r>
        <w:rPr>
          <w:rFonts w:hint="eastAsia" w:ascii="仿宋_GB2312" w:hAnsi="仿宋_GB2312" w:eastAsia="仿宋_GB2312" w:cs="仿宋_GB2312"/>
          <w:b w:val="0"/>
          <w:sz w:val="32"/>
        </w:rPr>
        <w:t>万元，提高</w:t>
      </w:r>
      <w:r>
        <w:rPr>
          <w:rFonts w:hint="eastAsia" w:ascii="仿宋_GB2312" w:hAnsi="仿宋_GB2312" w:eastAsia="仿宋_GB2312" w:cs="仿宋_GB2312"/>
          <w:b w:val="0"/>
          <w:sz w:val="32"/>
          <w:lang w:eastAsia="zh-CN"/>
        </w:rPr>
        <w:t>了</w:t>
      </w:r>
      <w:r>
        <w:rPr>
          <w:rFonts w:hint="eastAsia" w:ascii="仿宋_GB2312" w:hAnsi="仿宋_GB2312" w:eastAsia="仿宋_GB2312" w:cs="仿宋_GB2312"/>
          <w:b w:val="0"/>
          <w:sz w:val="32"/>
        </w:rPr>
        <w:t>依法行政、依法执政、依法管理能力水平。</w:t>
      </w:r>
    </w:p>
    <w:p>
      <w:pPr>
        <w:pStyle w:val="45"/>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bookmarkStart w:id="11" w:name="_Toc1994094"/>
      <w:r>
        <w:rPr>
          <w:rFonts w:hint="eastAsia" w:ascii="仿宋_GB2312" w:hAnsi="仿宋_GB2312" w:eastAsia="仿宋_GB2312" w:cs="仿宋_GB2312"/>
        </w:rPr>
        <w:t>四、改进措施</w:t>
      </w:r>
      <w:bookmarkEnd w:id="11"/>
    </w:p>
    <w:p>
      <w:pPr>
        <w:pStyle w:val="46"/>
        <w:pageBreakBefore w:val="0"/>
        <w:widowControl w:val="0"/>
        <w:kinsoku/>
        <w:wordWrap/>
        <w:overflowPunct/>
        <w:topLinePunct w:val="0"/>
        <w:autoSpaceDE/>
        <w:autoSpaceDN/>
        <w:bidi w:val="0"/>
        <w:adjustRightInd/>
        <w:snapToGrid/>
        <w:spacing w:line="576" w:lineRule="exact"/>
        <w:ind w:left="560"/>
        <w:textAlignment w:val="auto"/>
        <w:rPr>
          <w:rFonts w:hint="eastAsia" w:ascii="仿宋_GB2312" w:hAnsi="仿宋_GB2312" w:eastAsia="仿宋_GB2312" w:cs="仿宋_GB2312"/>
          <w:b w:val="0"/>
          <w:sz w:val="32"/>
        </w:rPr>
      </w:pPr>
      <w:bookmarkStart w:id="12" w:name="_Toc1994095"/>
      <w:r>
        <w:rPr>
          <w:rFonts w:hint="eastAsia" w:ascii="仿宋_GB2312" w:hAnsi="仿宋_GB2312" w:eastAsia="仿宋_GB2312" w:cs="仿宋_GB2312"/>
          <w:b w:val="0"/>
          <w:sz w:val="32"/>
        </w:rPr>
        <w:t>（一）项目整体建议</w:t>
      </w:r>
      <w:bookmarkEnd w:id="12"/>
      <w:r>
        <w:rPr>
          <w:rFonts w:hint="eastAsia" w:ascii="仿宋_GB2312" w:hAnsi="仿宋_GB2312" w:eastAsia="仿宋_GB2312" w:cs="仿宋_GB2312"/>
          <w:b w:val="0"/>
          <w:sz w:val="32"/>
        </w:rPr>
        <w:t>：</w:t>
      </w:r>
      <w:r>
        <w:rPr>
          <w:rFonts w:hint="eastAsia" w:ascii="仿宋_GB2312" w:hAnsi="仿宋_GB2312" w:eastAsia="仿宋_GB2312" w:cs="仿宋_GB2312"/>
          <w:b w:val="0"/>
          <w:bCs w:val="0"/>
          <w:kern w:val="2"/>
          <w:sz w:val="32"/>
          <w:lang w:val="en-US" w:eastAsia="zh-CN"/>
        </w:rPr>
        <w:t>进一步提高绩效目标的科学性、合理性、严谨性,完善财务管理流程。</w:t>
      </w:r>
    </w:p>
    <w:p>
      <w:pPr>
        <w:pStyle w:val="46"/>
        <w:pageBreakBefore w:val="0"/>
        <w:widowControl w:val="0"/>
        <w:kinsoku/>
        <w:wordWrap/>
        <w:overflowPunct/>
        <w:topLinePunct w:val="0"/>
        <w:autoSpaceDE/>
        <w:autoSpaceDN/>
        <w:bidi w:val="0"/>
        <w:adjustRightInd/>
        <w:snapToGrid/>
        <w:spacing w:line="576" w:lineRule="exact"/>
        <w:ind w:left="560"/>
        <w:textAlignment w:val="auto"/>
        <w:rPr>
          <w:rFonts w:hint="eastAsia" w:ascii="仿宋_GB2312" w:hAnsi="仿宋_GB2312" w:eastAsia="仿宋_GB2312" w:cs="仿宋_GB2312"/>
          <w:b w:val="0"/>
          <w:bCs w:val="0"/>
          <w:kern w:val="2"/>
          <w:sz w:val="32"/>
        </w:rPr>
      </w:pPr>
      <w:bookmarkStart w:id="13" w:name="_Toc1994096"/>
      <w:r>
        <w:rPr>
          <w:rFonts w:hint="eastAsia" w:ascii="仿宋_GB2312" w:hAnsi="仿宋_GB2312" w:eastAsia="仿宋_GB2312" w:cs="仿宋_GB2312"/>
          <w:b w:val="0"/>
          <w:sz w:val="32"/>
        </w:rPr>
        <w:t>（二）对调整预算资金安排的建议</w:t>
      </w:r>
      <w:bookmarkEnd w:id="13"/>
      <w:r>
        <w:rPr>
          <w:rFonts w:hint="eastAsia" w:ascii="仿宋_GB2312" w:hAnsi="仿宋_GB2312" w:eastAsia="仿宋_GB2312" w:cs="仿宋_GB2312"/>
          <w:b w:val="0"/>
          <w:sz w:val="32"/>
        </w:rPr>
        <w:t>：无</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bookmarkStart w:id="14" w:name="_Toc1994097"/>
      <w:r>
        <w:rPr>
          <w:rFonts w:hint="eastAsia" w:ascii="仿宋_GB2312" w:hAnsi="仿宋_GB2312" w:eastAsia="仿宋_GB2312" w:cs="仿宋_GB2312"/>
          <w:b/>
          <w:sz w:val="32"/>
        </w:rPr>
        <w:t>（三）对项目管理的建议</w:t>
      </w:r>
      <w:bookmarkEnd w:id="14"/>
      <w:r>
        <w:rPr>
          <w:rFonts w:hint="eastAsia" w:ascii="仿宋_GB2312" w:hAnsi="仿宋_GB2312" w:eastAsia="仿宋_GB2312" w:cs="仿宋_GB2312"/>
          <w:b/>
          <w:sz w:val="32"/>
        </w:rPr>
        <w:t>：</w:t>
      </w:r>
      <w:bookmarkStart w:id="15" w:name="_Toc1994098"/>
      <w:r>
        <w:rPr>
          <w:rFonts w:hint="eastAsia" w:ascii="仿宋_GB2312" w:hAnsi="仿宋_GB2312" w:eastAsia="仿宋_GB2312" w:cs="仿宋_GB2312"/>
          <w:sz w:val="32"/>
          <w:szCs w:val="32"/>
        </w:rPr>
        <w:t>建议完善专项资金管理办法及财务监控制度，明确使用标准及管理与监督细节，根据专项资金管理办法并严格按预算执行。进一步改进政府管理方式，提高行政效率，降低成本。</w:t>
      </w:r>
    </w:p>
    <w:p>
      <w:pPr>
        <w:pStyle w:val="46"/>
        <w:pageBreakBefore w:val="0"/>
        <w:widowControl w:val="0"/>
        <w:kinsoku/>
        <w:wordWrap/>
        <w:overflowPunct/>
        <w:topLinePunct w:val="0"/>
        <w:autoSpaceDE/>
        <w:autoSpaceDN/>
        <w:bidi w:val="0"/>
        <w:adjustRightInd/>
        <w:snapToGrid/>
        <w:spacing w:line="576" w:lineRule="exact"/>
        <w:ind w:left="560"/>
        <w:textAlignment w:val="auto"/>
        <w:rPr>
          <w:rFonts w:hint="eastAsia" w:ascii="仿宋_GB2312" w:hAnsi="仿宋_GB2312" w:eastAsia="仿宋_GB2312" w:cs="仿宋_GB2312"/>
          <w:b w:val="0"/>
          <w:bCs w:val="0"/>
          <w:kern w:val="2"/>
          <w:sz w:val="32"/>
        </w:rPr>
      </w:pPr>
      <w:r>
        <w:rPr>
          <w:rFonts w:hint="eastAsia" w:ascii="仿宋_GB2312" w:hAnsi="仿宋_GB2312" w:eastAsia="仿宋_GB2312" w:cs="仿宋_GB2312"/>
          <w:b w:val="0"/>
          <w:sz w:val="32"/>
        </w:rPr>
        <w:t>（四）对目标调整的建议</w:t>
      </w:r>
      <w:bookmarkEnd w:id="15"/>
      <w:r>
        <w:rPr>
          <w:rFonts w:hint="eastAsia" w:ascii="仿宋_GB2312" w:hAnsi="仿宋_GB2312" w:eastAsia="仿宋_GB2312" w:cs="仿宋_GB2312"/>
          <w:b w:val="0"/>
          <w:sz w:val="32"/>
        </w:rPr>
        <w:t>：无</w:t>
      </w:r>
    </w:p>
    <w:p>
      <w:pPr>
        <w:pStyle w:val="25"/>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rPr>
      </w:pPr>
    </w:p>
    <w:p>
      <w:pPr>
        <w:pStyle w:val="25"/>
        <w:ind w:firstLine="0" w:firstLineChars="0"/>
        <w:jc w:val="both"/>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widowControl/>
        <w:spacing w:line="576"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县乡视频会议线路租用费项目绩效评价报告</w:t>
      </w:r>
    </w:p>
    <w:p>
      <w:pPr>
        <w:spacing w:line="576" w:lineRule="exact"/>
        <w:ind w:firstLine="0" w:firstLineChars="0"/>
        <w:rPr>
          <w:rFonts w:hint="eastAsia" w:ascii="黑体" w:hAnsi="黑体" w:eastAsia="黑体"/>
          <w:sz w:val="32"/>
          <w:szCs w:val="32"/>
        </w:rPr>
      </w:pPr>
    </w:p>
    <w:p>
      <w:pPr>
        <w:spacing w:line="576" w:lineRule="exact"/>
        <w:ind w:firstLine="0" w:firstLineChars="0"/>
        <w:rPr>
          <w:rFonts w:hint="eastAsia" w:ascii="黑体" w:hAnsi="黑体" w:eastAsia="黑体"/>
          <w:sz w:val="32"/>
          <w:szCs w:val="32"/>
        </w:rPr>
      </w:pPr>
      <w:r>
        <w:rPr>
          <w:rFonts w:hint="eastAsia" w:ascii="黑体" w:hAnsi="黑体" w:eastAsia="黑体"/>
          <w:sz w:val="32"/>
          <w:szCs w:val="32"/>
        </w:rPr>
        <w:t>一、项目基本情况</w:t>
      </w:r>
    </w:p>
    <w:p>
      <w:pPr>
        <w:spacing w:line="576" w:lineRule="exact"/>
        <w:ind w:firstLine="640"/>
        <w:rPr>
          <w:rFonts w:hint="eastAsia"/>
          <w:sz w:val="32"/>
          <w:szCs w:val="32"/>
        </w:rPr>
      </w:pPr>
      <w:r>
        <w:rPr>
          <w:rFonts w:hint="eastAsia"/>
          <w:sz w:val="32"/>
          <w:szCs w:val="32"/>
        </w:rPr>
        <w:t>（一）项目概况：张家川县政府及15乡镇政府接入省政务专网平台视频会议使用费。</w:t>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p>
    <w:p>
      <w:pPr>
        <w:tabs>
          <w:tab w:val="left" w:pos="3600"/>
        </w:tabs>
        <w:spacing w:line="576" w:lineRule="exact"/>
        <w:ind w:firstLine="640"/>
        <w:rPr>
          <w:rFonts w:hint="eastAsia"/>
          <w:sz w:val="32"/>
          <w:szCs w:val="32"/>
        </w:rPr>
      </w:pPr>
      <w:r>
        <w:rPr>
          <w:rFonts w:hint="eastAsia"/>
          <w:sz w:val="32"/>
          <w:szCs w:val="32"/>
        </w:rPr>
        <w:t>（二）项目起止时间：20</w:t>
      </w:r>
      <w:r>
        <w:rPr>
          <w:rFonts w:hint="eastAsia"/>
          <w:sz w:val="32"/>
          <w:szCs w:val="32"/>
          <w:lang w:val="en-US" w:eastAsia="zh-CN"/>
        </w:rPr>
        <w:t>23</w:t>
      </w:r>
      <w:r>
        <w:rPr>
          <w:rFonts w:hint="eastAsia"/>
          <w:sz w:val="32"/>
          <w:szCs w:val="32"/>
        </w:rPr>
        <w:t>年1月1日至20</w:t>
      </w:r>
      <w:r>
        <w:rPr>
          <w:rFonts w:hint="eastAsia"/>
          <w:sz w:val="32"/>
          <w:szCs w:val="32"/>
          <w:lang w:val="en-US" w:eastAsia="zh-CN"/>
        </w:rPr>
        <w:t>23</w:t>
      </w:r>
      <w:r>
        <w:rPr>
          <w:rFonts w:hint="eastAsia"/>
          <w:sz w:val="32"/>
          <w:szCs w:val="32"/>
        </w:rPr>
        <w:t>年12月31日。</w:t>
      </w:r>
      <w:r>
        <w:rPr>
          <w:sz w:val="32"/>
          <w:szCs w:val="32"/>
        </w:rPr>
        <w:tab/>
      </w:r>
    </w:p>
    <w:p>
      <w:pPr>
        <w:spacing w:line="576" w:lineRule="exact"/>
        <w:ind w:firstLine="640"/>
        <w:rPr>
          <w:rFonts w:hint="eastAsia"/>
          <w:sz w:val="32"/>
          <w:szCs w:val="32"/>
        </w:rPr>
      </w:pPr>
      <w:r>
        <w:rPr>
          <w:rFonts w:hint="eastAsia"/>
          <w:sz w:val="32"/>
          <w:szCs w:val="32"/>
        </w:rPr>
        <w:t>（三）项目实施计划：县乡视频会议线路租用费作为专项经费，视频会议系统由我办政务信息中心与协议方具体负责会议系统的正常运转,切实保障远程视频会议的召开及省、市政府机关重要会议的结转。</w:t>
      </w:r>
    </w:p>
    <w:p>
      <w:pPr>
        <w:spacing w:line="576" w:lineRule="exact"/>
        <w:ind w:firstLine="640"/>
        <w:rPr>
          <w:rFonts w:ascii="黑体" w:hAnsi="黑体" w:cs="Times New Roman"/>
          <w:b/>
          <w:bCs/>
          <w:smallCaps/>
          <w:color w:val="000000"/>
          <w:spacing w:val="5"/>
          <w:sz w:val="32"/>
          <w:szCs w:val="32"/>
        </w:rPr>
      </w:pPr>
      <w:r>
        <w:rPr>
          <w:rFonts w:hint="eastAsia"/>
          <w:sz w:val="32"/>
          <w:szCs w:val="32"/>
        </w:rPr>
        <w:t>（四）项目资金投入和使用情况：投入</w:t>
      </w:r>
      <w:r>
        <w:rPr>
          <w:rFonts w:hint="eastAsia" w:ascii="仿宋_GB2312" w:hAnsi="黑体" w:cs="Times New Roman"/>
          <w:kern w:val="0"/>
          <w:sz w:val="32"/>
          <w:szCs w:val="32"/>
          <w:lang w:bidi="en-US"/>
        </w:rPr>
        <w:t>县乡视频会议线路租用费</w:t>
      </w:r>
      <w:r>
        <w:rPr>
          <w:rFonts w:hint="eastAsia"/>
          <w:sz w:val="32"/>
          <w:szCs w:val="32"/>
        </w:rPr>
        <w:t>资金7万元，全部使用。</w:t>
      </w:r>
    </w:p>
    <w:p>
      <w:pPr>
        <w:spacing w:line="576" w:lineRule="exact"/>
        <w:ind w:firstLine="663"/>
        <w:rPr>
          <w:rFonts w:ascii="黑体" w:hAnsi="黑体" w:eastAsia="黑体" w:cs="Times New Roman"/>
          <w:b/>
          <w:bCs/>
          <w:smallCaps/>
          <w:color w:val="000000"/>
          <w:spacing w:val="5"/>
          <w:sz w:val="32"/>
          <w:szCs w:val="32"/>
        </w:rPr>
      </w:pPr>
    </w:p>
    <w:p>
      <w:pPr>
        <w:pStyle w:val="43"/>
        <w:ind w:left="560"/>
        <w:rPr>
          <w:rFonts w:hint="eastAsia"/>
        </w:rPr>
      </w:pPr>
      <w:r>
        <w:rPr>
          <w:rFonts w:hint="eastAsia"/>
        </w:rPr>
        <w:t>1. 资金安排情况</w:t>
      </w:r>
    </w:p>
    <w:tbl>
      <w:tblPr>
        <w:tblStyle w:val="26"/>
        <w:tblW w:w="0" w:type="auto"/>
        <w:tblInd w:w="314" w:type="dxa"/>
        <w:tblLayout w:type="fixed"/>
        <w:tblCellMar>
          <w:top w:w="0" w:type="dxa"/>
          <w:left w:w="30" w:type="dxa"/>
          <w:bottom w:w="0" w:type="dxa"/>
          <w:right w:w="30" w:type="dxa"/>
        </w:tblCellMar>
      </w:tblPr>
      <w:tblGrid>
        <w:gridCol w:w="2268"/>
        <w:gridCol w:w="1276"/>
        <w:gridCol w:w="1559"/>
        <w:gridCol w:w="1559"/>
        <w:gridCol w:w="992"/>
      </w:tblGrid>
      <w:tr>
        <w:tblPrEx>
          <w:tblCellMar>
            <w:top w:w="0" w:type="dxa"/>
            <w:left w:w="30" w:type="dxa"/>
            <w:bottom w:w="0" w:type="dxa"/>
            <w:right w:w="30" w:type="dxa"/>
          </w:tblCellMar>
        </w:tblPrEx>
        <w:trPr>
          <w:trHeight w:val="549" w:hRule="atLeast"/>
        </w:trPr>
        <w:tc>
          <w:tcPr>
            <w:tcW w:w="2268"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ascii="黑体" w:hAnsi="黑体" w:eastAsia="黑体" w:cs="Times New Roman"/>
                <w:bCs/>
                <w:kern w:val="0"/>
                <w:sz w:val="21"/>
                <w:szCs w:val="21"/>
              </w:rPr>
            </w:pPr>
            <w:r>
              <w:rPr>
                <w:rFonts w:hint="eastAsia" w:ascii="黑体" w:hAnsi="黑体" w:eastAsia="黑体" w:cs="Times New Roman"/>
                <w:bCs/>
                <w:kern w:val="0"/>
                <w:sz w:val="21"/>
                <w:szCs w:val="21"/>
              </w:rPr>
              <w:t>一</w:t>
            </w:r>
            <w:r>
              <w:rPr>
                <w:rFonts w:ascii="黑体" w:hAnsi="黑体" w:eastAsia="黑体" w:cs="Times New Roman"/>
                <w:bCs/>
                <w:kern w:val="0"/>
                <w:sz w:val="21"/>
                <w:szCs w:val="21"/>
              </w:rPr>
              <w:t>、</w:t>
            </w:r>
            <w:r>
              <w:rPr>
                <w:rFonts w:hint="eastAsia" w:ascii="黑体" w:hAnsi="黑体" w:eastAsia="黑体" w:cs="Times New Roman"/>
                <w:bCs/>
                <w:kern w:val="0"/>
                <w:sz w:val="21"/>
                <w:szCs w:val="21"/>
              </w:rPr>
              <w:t>资金</w:t>
            </w:r>
            <w:r>
              <w:rPr>
                <w:rFonts w:ascii="黑体" w:hAnsi="黑体" w:eastAsia="黑体" w:cs="Times New Roman"/>
                <w:bCs/>
                <w:kern w:val="0"/>
                <w:sz w:val="21"/>
                <w:szCs w:val="21"/>
              </w:rPr>
              <w:t>安排情况</w:t>
            </w:r>
          </w:p>
        </w:tc>
        <w:tc>
          <w:tcPr>
            <w:tcW w:w="1276"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预算数（元）</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占预算</w:t>
            </w:r>
            <w:r>
              <w:rPr>
                <w:rFonts w:ascii="黑体" w:hAnsi="黑体" w:eastAsia="黑体" w:cs="Times New Roman"/>
                <w:bCs/>
                <w:kern w:val="0"/>
                <w:sz w:val="21"/>
                <w:szCs w:val="21"/>
              </w:rPr>
              <w:t>总数比</w:t>
            </w:r>
            <w:r>
              <w:rPr>
                <w:rFonts w:hint="eastAsia" w:ascii="黑体" w:hAnsi="黑体" w:eastAsia="黑体" w:cs="Times New Roman"/>
                <w:bCs/>
                <w:kern w:val="0"/>
                <w:sz w:val="21"/>
                <w:szCs w:val="21"/>
              </w:rPr>
              <w:t>（%）</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实际到位（元）</w:t>
            </w:r>
          </w:p>
        </w:tc>
        <w:tc>
          <w:tcPr>
            <w:tcW w:w="992" w:type="dxa"/>
            <w:tcBorders>
              <w:top w:val="single" w:color="auto" w:sz="4" w:space="0"/>
              <w:left w:val="single" w:color="auto" w:sz="4" w:space="0"/>
              <w:right w:val="single" w:color="auto" w:sz="4" w:space="0"/>
            </w:tcBorders>
            <w:shd w:val="clear" w:color="auto" w:fill="95B3D7"/>
            <w:noWrap w:val="0"/>
            <w:vAlign w:val="top"/>
          </w:tcPr>
          <w:p>
            <w:pPr>
              <w:widowControl/>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到位率</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7万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7万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100%</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中央财政资金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省级(省、自治区、直辖市)财政资金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r>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地级市级（地级市、自治州、直辖市区）财政资金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县级（县、自治县、市、旗）财政资金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7万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7万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100%</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乡镇级财政资金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ascii="宋体" w:hAnsi="Arial" w:eastAsia="宋体" w:cs="宋体"/>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单位自筹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ascii="宋体" w:hAnsi="Arial" w:eastAsia="宋体" w:cs="宋体"/>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银行贷款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ascii="宋体" w:hAnsi="Arial" w:eastAsia="宋体" w:cs="宋体"/>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r>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社会资本</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ascii="宋体" w:hAnsi="Arial" w:eastAsia="宋体" w:cs="宋体"/>
                <w:color w:val="000000"/>
                <w:kern w:val="0"/>
                <w:sz w:val="20"/>
                <w:szCs w:val="20"/>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p>
        </w:tc>
      </w:tr>
    </w:tbl>
    <w:p>
      <w:pPr>
        <w:pStyle w:val="43"/>
        <w:ind w:left="560"/>
        <w:rPr>
          <w:rFonts w:hint="eastAsia"/>
        </w:rPr>
      </w:pPr>
      <w:r>
        <w:rPr>
          <w:rFonts w:hint="eastAsia"/>
        </w:rPr>
        <w:t>2. 资金使用情况</w:t>
      </w:r>
    </w:p>
    <w:tbl>
      <w:tblPr>
        <w:tblStyle w:val="26"/>
        <w:tblW w:w="0" w:type="auto"/>
        <w:tblInd w:w="314" w:type="dxa"/>
        <w:tblLayout w:type="fixed"/>
        <w:tblCellMar>
          <w:top w:w="0" w:type="dxa"/>
          <w:left w:w="30" w:type="dxa"/>
          <w:bottom w:w="0" w:type="dxa"/>
          <w:right w:w="30" w:type="dxa"/>
        </w:tblCellMar>
      </w:tblPr>
      <w:tblGrid>
        <w:gridCol w:w="2268"/>
        <w:gridCol w:w="1276"/>
        <w:gridCol w:w="1559"/>
        <w:gridCol w:w="1559"/>
        <w:gridCol w:w="992"/>
      </w:tblGrid>
      <w:tr>
        <w:tblPrEx>
          <w:tblCellMar>
            <w:top w:w="0" w:type="dxa"/>
            <w:left w:w="30" w:type="dxa"/>
            <w:bottom w:w="0" w:type="dxa"/>
            <w:right w:w="30" w:type="dxa"/>
          </w:tblCellMar>
        </w:tblPrEx>
        <w:trPr>
          <w:trHeight w:val="504" w:hRule="atLeast"/>
        </w:trPr>
        <w:tc>
          <w:tcPr>
            <w:tcW w:w="2268"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ascii="黑体" w:hAnsi="黑体" w:eastAsia="黑体" w:cs="Times New Roman"/>
                <w:bCs/>
                <w:kern w:val="0"/>
                <w:sz w:val="21"/>
                <w:szCs w:val="21"/>
              </w:rPr>
            </w:pPr>
            <w:r>
              <w:rPr>
                <w:rFonts w:hint="eastAsia" w:ascii="黑体" w:hAnsi="黑体" w:eastAsia="黑体" w:cs="Times New Roman"/>
                <w:bCs/>
                <w:kern w:val="0"/>
                <w:sz w:val="21"/>
                <w:szCs w:val="21"/>
              </w:rPr>
              <w:t>二</w:t>
            </w:r>
            <w:r>
              <w:rPr>
                <w:rFonts w:ascii="黑体" w:hAnsi="黑体" w:eastAsia="黑体" w:cs="Times New Roman"/>
                <w:bCs/>
                <w:kern w:val="0"/>
                <w:sz w:val="21"/>
                <w:szCs w:val="21"/>
              </w:rPr>
              <w:t>、</w:t>
            </w:r>
            <w:r>
              <w:rPr>
                <w:rFonts w:hint="eastAsia" w:ascii="黑体" w:hAnsi="黑体" w:eastAsia="黑体" w:cs="Times New Roman"/>
                <w:bCs/>
                <w:kern w:val="0"/>
                <w:sz w:val="21"/>
                <w:szCs w:val="21"/>
              </w:rPr>
              <w:t>资金支出</w:t>
            </w:r>
            <w:r>
              <w:rPr>
                <w:rFonts w:ascii="黑体" w:hAnsi="黑体" w:eastAsia="黑体" w:cs="Times New Roman"/>
                <w:bCs/>
                <w:kern w:val="0"/>
                <w:sz w:val="21"/>
                <w:szCs w:val="21"/>
              </w:rPr>
              <w:t>情况</w:t>
            </w:r>
          </w:p>
        </w:tc>
        <w:tc>
          <w:tcPr>
            <w:tcW w:w="1276" w:type="dxa"/>
            <w:tcBorders>
              <w:top w:val="single" w:color="auto" w:sz="4" w:space="0"/>
              <w:left w:val="single" w:color="auto" w:sz="4" w:space="0"/>
              <w:bottom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预算数（元）</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占预算</w:t>
            </w:r>
            <w:r>
              <w:rPr>
                <w:rFonts w:ascii="黑体" w:hAnsi="黑体" w:eastAsia="黑体" w:cs="Times New Roman"/>
                <w:bCs/>
                <w:kern w:val="0"/>
                <w:sz w:val="21"/>
                <w:szCs w:val="21"/>
              </w:rPr>
              <w:t>总数比</w:t>
            </w:r>
            <w:r>
              <w:rPr>
                <w:rFonts w:hint="eastAsia" w:ascii="黑体" w:hAnsi="黑体" w:eastAsia="黑体" w:cs="Times New Roman"/>
                <w:bCs/>
                <w:kern w:val="0"/>
                <w:sz w:val="21"/>
                <w:szCs w:val="21"/>
              </w:rPr>
              <w:t>（%）</w:t>
            </w:r>
          </w:p>
        </w:tc>
        <w:tc>
          <w:tcPr>
            <w:tcW w:w="1559" w:type="dxa"/>
            <w:tcBorders>
              <w:top w:val="single" w:color="auto" w:sz="4" w:space="0"/>
              <w:left w:val="single" w:color="auto" w:sz="4" w:space="0"/>
              <w:right w:val="single" w:color="auto" w:sz="4" w:space="0"/>
            </w:tcBorders>
            <w:shd w:val="clear" w:color="auto" w:fill="95B3D7"/>
            <w:noWrap w:val="0"/>
            <w:vAlign w:val="top"/>
          </w:tcPr>
          <w:p>
            <w:pPr>
              <w:widowControl/>
              <w:spacing w:line="360" w:lineRule="exact"/>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实际支出（元）</w:t>
            </w:r>
          </w:p>
        </w:tc>
        <w:tc>
          <w:tcPr>
            <w:tcW w:w="992" w:type="dxa"/>
            <w:tcBorders>
              <w:top w:val="single" w:color="auto" w:sz="4" w:space="0"/>
              <w:left w:val="single" w:color="auto" w:sz="4" w:space="0"/>
              <w:right w:val="single" w:color="auto" w:sz="4" w:space="0"/>
            </w:tcBorders>
            <w:shd w:val="clear" w:color="auto" w:fill="95B3D7"/>
            <w:noWrap w:val="0"/>
            <w:vAlign w:val="top"/>
          </w:tcPr>
          <w:p>
            <w:pPr>
              <w:widowControl/>
              <w:ind w:firstLine="0" w:firstLineChars="0"/>
              <w:jc w:val="center"/>
              <w:rPr>
                <w:rFonts w:hint="eastAsia" w:ascii="黑体" w:hAnsi="黑体" w:eastAsia="黑体" w:cs="Times New Roman"/>
                <w:bCs/>
                <w:kern w:val="0"/>
                <w:sz w:val="21"/>
                <w:szCs w:val="21"/>
              </w:rPr>
            </w:pPr>
            <w:r>
              <w:rPr>
                <w:rFonts w:hint="eastAsia" w:ascii="黑体" w:hAnsi="黑体" w:eastAsia="黑体" w:cs="Times New Roman"/>
                <w:bCs/>
                <w:kern w:val="0"/>
                <w:sz w:val="21"/>
                <w:szCs w:val="21"/>
              </w:rPr>
              <w:t>执行率</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7万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Arial" w:eastAsia="宋体" w:cs="宋体"/>
                <w:color w:val="000000"/>
                <w:kern w:val="0"/>
                <w:sz w:val="20"/>
                <w:szCs w:val="20"/>
              </w:rPr>
            </w:pPr>
            <w:r>
              <w:rPr>
                <w:rFonts w:hint="eastAsia" w:ascii="宋体" w:hAnsi="Arial" w:eastAsia="宋体" w:cs="宋体"/>
                <w:color w:val="000000"/>
                <w:kern w:val="0"/>
                <w:sz w:val="20"/>
                <w:szCs w:val="20"/>
                <w:lang w:val="en-US" w:eastAsia="zh-CN"/>
              </w:rPr>
              <w:t>1</w:t>
            </w:r>
            <w:r>
              <w:rPr>
                <w:rFonts w:hint="eastAsia" w:ascii="宋体" w:hAnsi="Arial" w:eastAsia="宋体" w:cs="宋体"/>
                <w:color w:val="000000"/>
                <w:kern w:val="0"/>
                <w:sz w:val="20"/>
                <w:szCs w:val="20"/>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7万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ascii="宋体" w:hAnsi="Arial" w:eastAsia="宋体" w:cs="宋体"/>
                <w:color w:val="000000"/>
                <w:kern w:val="0"/>
                <w:sz w:val="20"/>
                <w:szCs w:val="20"/>
              </w:rPr>
            </w:pPr>
            <w:r>
              <w:rPr>
                <w:rFonts w:hint="eastAsia" w:ascii="宋体" w:hAnsi="Arial" w:eastAsia="宋体" w:cs="宋体"/>
                <w:color w:val="000000"/>
                <w:kern w:val="0"/>
                <w:sz w:val="20"/>
                <w:szCs w:val="20"/>
              </w:rPr>
              <w:t>100%</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r>
              <w:rPr>
                <w:rFonts w:ascii="宋体" w:hAnsi="Arial" w:eastAsia="宋体" w:cs="宋体"/>
                <w:color w:val="000000"/>
                <w:kern w:val="0"/>
                <w:sz w:val="20"/>
                <w:szCs w:val="20"/>
              </w:rPr>
              <w:t>%</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r>
              <w:rPr>
                <w:rFonts w:ascii="宋体" w:hAnsi="Arial" w:eastAsia="宋体" w:cs="宋体"/>
                <w:color w:val="000000"/>
                <w:kern w:val="0"/>
                <w:sz w:val="20"/>
                <w:szCs w:val="20"/>
              </w:rPr>
              <w:t>%</w:t>
            </w:r>
          </w:p>
        </w:tc>
      </w:tr>
      <w:tr>
        <w:tblPrEx>
          <w:tblCellMar>
            <w:top w:w="0" w:type="dxa"/>
            <w:left w:w="30" w:type="dxa"/>
            <w:bottom w:w="0" w:type="dxa"/>
            <w:right w:w="30" w:type="dxa"/>
          </w:tblCellMar>
        </w:tblPrEx>
        <w:trPr>
          <w:trHeight w:val="466"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hint="eastAsia" w:ascii="宋体" w:hAnsi="Arial" w:eastAsia="宋体" w:cs="宋体"/>
                <w:color w:val="000000"/>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ind w:firstLine="0" w:firstLineChars="0"/>
              <w:jc w:val="center"/>
              <w:rPr>
                <w:rFonts w:ascii="宋体" w:hAnsi="Arial" w:eastAsia="宋体" w:cs="宋体"/>
                <w:color w:val="000000"/>
                <w:kern w:val="0"/>
                <w:sz w:val="20"/>
                <w:szCs w:val="20"/>
              </w:rPr>
            </w:pPr>
            <w:r>
              <w:rPr>
                <w:rFonts w:ascii="宋体" w:hAnsi="Arial" w:eastAsia="宋体" w:cs="宋体"/>
                <w:color w:val="000000"/>
                <w:kern w:val="0"/>
                <w:sz w:val="20"/>
                <w:szCs w:val="20"/>
              </w:rPr>
              <w:t xml:space="preserve"> %</w:t>
            </w:r>
          </w:p>
        </w:tc>
      </w:tr>
    </w:tbl>
    <w:p>
      <w:pPr>
        <w:pStyle w:val="45"/>
        <w:ind w:firstLine="640" w:firstLineChars="200"/>
        <w:rPr>
          <w:rFonts w:hint="eastAsia"/>
        </w:rPr>
      </w:pPr>
      <w:r>
        <w:rPr>
          <w:rFonts w:hint="eastAsia"/>
        </w:rPr>
        <w:t>二、绩效目标核对和确定情况</w:t>
      </w:r>
    </w:p>
    <w:tbl>
      <w:tblPr>
        <w:tblStyle w:val="26"/>
        <w:tblW w:w="0" w:type="auto"/>
        <w:jc w:val="center"/>
        <w:tblLayout w:type="fixed"/>
        <w:tblCellMar>
          <w:top w:w="0" w:type="dxa"/>
          <w:left w:w="108" w:type="dxa"/>
          <w:bottom w:w="0" w:type="dxa"/>
          <w:right w:w="108" w:type="dxa"/>
        </w:tblCellMar>
      </w:tblPr>
      <w:tblGrid>
        <w:gridCol w:w="1560"/>
        <w:gridCol w:w="1843"/>
        <w:gridCol w:w="2059"/>
        <w:gridCol w:w="1845"/>
        <w:gridCol w:w="1701"/>
      </w:tblGrid>
      <w:tr>
        <w:tblPrEx>
          <w:tblCellMar>
            <w:top w:w="0" w:type="dxa"/>
            <w:left w:w="108" w:type="dxa"/>
            <w:bottom w:w="0" w:type="dxa"/>
            <w:right w:w="108" w:type="dxa"/>
          </w:tblCellMar>
        </w:tblPrEx>
        <w:trPr>
          <w:trHeight w:val="728"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000000" w:fill="95B3D7"/>
            <w:noWrap w:val="0"/>
            <w:vAlign w:val="center"/>
          </w:tcPr>
          <w:p>
            <w:pPr>
              <w:widowControl/>
              <w:ind w:firstLine="0" w:firstLineChars="0"/>
              <w:jc w:val="center"/>
              <w:rPr>
                <w:rFonts w:ascii="黑体" w:hAnsi="黑体" w:eastAsia="黑体" w:cs="Times New Roman"/>
                <w:bCs/>
                <w:color w:val="000000"/>
                <w:kern w:val="0"/>
                <w:sz w:val="21"/>
                <w:szCs w:val="21"/>
              </w:rPr>
            </w:pPr>
            <w:r>
              <w:rPr>
                <w:rFonts w:hint="eastAsia" w:ascii="黑体" w:hAnsi="黑体" w:eastAsia="黑体" w:cs="Times New Roman"/>
                <w:bCs/>
                <w:color w:val="000000"/>
                <w:kern w:val="0"/>
                <w:sz w:val="21"/>
                <w:szCs w:val="21"/>
              </w:rPr>
              <w:t>内容</w:t>
            </w:r>
          </w:p>
        </w:tc>
        <w:tc>
          <w:tcPr>
            <w:tcW w:w="1843"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ascii="黑体" w:hAnsi="黑体" w:eastAsia="黑体" w:cs="Times New Roman"/>
                <w:bCs/>
                <w:color w:val="000000"/>
                <w:kern w:val="0"/>
                <w:sz w:val="21"/>
                <w:szCs w:val="21"/>
              </w:rPr>
            </w:pPr>
            <w:r>
              <w:rPr>
                <w:rFonts w:hint="eastAsia" w:ascii="黑体" w:hAnsi="黑体" w:eastAsia="黑体" w:cs="Times New Roman"/>
                <w:bCs/>
                <w:color w:val="000000"/>
                <w:kern w:val="0"/>
                <w:sz w:val="21"/>
                <w:szCs w:val="21"/>
              </w:rPr>
              <w:t>原定指标</w:t>
            </w:r>
          </w:p>
        </w:tc>
        <w:tc>
          <w:tcPr>
            <w:tcW w:w="2059"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ascii="黑体" w:hAnsi="黑体" w:eastAsia="黑体" w:cs="Times New Roman"/>
                <w:bCs/>
                <w:color w:val="000000"/>
                <w:kern w:val="0"/>
                <w:sz w:val="21"/>
                <w:szCs w:val="21"/>
              </w:rPr>
            </w:pPr>
            <w:r>
              <w:rPr>
                <w:rFonts w:hint="eastAsia" w:ascii="黑体" w:hAnsi="黑体" w:eastAsia="黑体" w:cs="Times New Roman"/>
                <w:bCs/>
                <w:color w:val="000000"/>
                <w:kern w:val="0"/>
                <w:sz w:val="21"/>
                <w:szCs w:val="21"/>
              </w:rPr>
              <w:t>原定目标值</w:t>
            </w:r>
          </w:p>
        </w:tc>
        <w:tc>
          <w:tcPr>
            <w:tcW w:w="1845"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ascii="黑体" w:hAnsi="黑体" w:eastAsia="黑体" w:cs="Times New Roman"/>
                <w:bCs/>
                <w:color w:val="000000"/>
                <w:kern w:val="0"/>
                <w:sz w:val="21"/>
                <w:szCs w:val="21"/>
              </w:rPr>
            </w:pPr>
            <w:r>
              <w:rPr>
                <w:rFonts w:hint="eastAsia" w:ascii="黑体" w:hAnsi="黑体" w:eastAsia="黑体" w:cs="Times New Roman"/>
                <w:bCs/>
                <w:color w:val="000000"/>
                <w:kern w:val="0"/>
                <w:sz w:val="21"/>
                <w:szCs w:val="21"/>
              </w:rPr>
              <w:t>确认后指标</w:t>
            </w:r>
          </w:p>
        </w:tc>
        <w:tc>
          <w:tcPr>
            <w:tcW w:w="1701" w:type="dxa"/>
            <w:tcBorders>
              <w:top w:val="single" w:color="000000" w:sz="4" w:space="0"/>
              <w:left w:val="nil"/>
              <w:bottom w:val="single" w:color="000000" w:sz="4" w:space="0"/>
              <w:right w:val="single" w:color="000000" w:sz="4" w:space="0"/>
            </w:tcBorders>
            <w:shd w:val="clear" w:color="000000" w:fill="95B3D7"/>
            <w:noWrap w:val="0"/>
            <w:vAlign w:val="center"/>
          </w:tcPr>
          <w:p>
            <w:pPr>
              <w:widowControl/>
              <w:ind w:firstLine="0" w:firstLineChars="0"/>
              <w:jc w:val="center"/>
              <w:rPr>
                <w:rFonts w:ascii="黑体" w:hAnsi="黑体" w:eastAsia="黑体" w:cs="Times New Roman"/>
                <w:bCs/>
                <w:color w:val="000000"/>
                <w:kern w:val="0"/>
                <w:sz w:val="21"/>
                <w:szCs w:val="21"/>
              </w:rPr>
            </w:pPr>
            <w:r>
              <w:rPr>
                <w:rFonts w:hint="eastAsia" w:ascii="黑体" w:hAnsi="黑体" w:eastAsia="黑体" w:cs="Times New Roman"/>
                <w:bCs/>
                <w:color w:val="000000"/>
                <w:kern w:val="0"/>
                <w:sz w:val="21"/>
                <w:szCs w:val="21"/>
              </w:rPr>
              <w:t>确认后目标值</w:t>
            </w:r>
          </w:p>
        </w:tc>
      </w:tr>
      <w:tr>
        <w:tblPrEx>
          <w:tblCellMar>
            <w:top w:w="0" w:type="dxa"/>
            <w:left w:w="108" w:type="dxa"/>
            <w:bottom w:w="0" w:type="dxa"/>
            <w:right w:w="108" w:type="dxa"/>
          </w:tblCellMar>
        </w:tblPrEx>
        <w:trPr>
          <w:trHeight w:val="728" w:hRule="atLeast"/>
          <w:jc w:val="center"/>
        </w:trPr>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hint="eastAsia" w:ascii="仿宋_GB2312" w:hAnsi="Times New Roman" w:cs="Times New Roman"/>
                <w:b/>
                <w:bCs/>
                <w:kern w:val="0"/>
                <w:sz w:val="21"/>
                <w:szCs w:val="21"/>
              </w:rPr>
            </w:pPr>
            <w:r>
              <w:rPr>
                <w:rFonts w:hint="eastAsia" w:ascii="仿宋_GB2312" w:hAnsi="Times New Roman" w:cs="Times New Roman"/>
                <w:b/>
                <w:bCs/>
                <w:kern w:val="0"/>
                <w:sz w:val="21"/>
                <w:szCs w:val="21"/>
              </w:rPr>
              <w:t xml:space="preserve"> 切实保障远程视频会议的召开及省、市政府机关重要会议的结转</w:t>
            </w:r>
          </w:p>
        </w:tc>
        <w:tc>
          <w:tcPr>
            <w:tcW w:w="1843"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left"/>
              <w:rPr>
                <w:rFonts w:hint="eastAsia" w:ascii="仿宋_GB2312" w:hAnsi="Times New Roman" w:cs="Times New Roman"/>
                <w:b/>
                <w:bCs/>
                <w:kern w:val="0"/>
                <w:sz w:val="21"/>
                <w:szCs w:val="21"/>
              </w:rPr>
            </w:pPr>
            <w:r>
              <w:rPr>
                <w:rFonts w:hint="eastAsia" w:ascii="仿宋_GB2312" w:hAnsi="Times New Roman" w:cs="Times New Roman"/>
                <w:b/>
                <w:bCs/>
                <w:kern w:val="0"/>
                <w:sz w:val="21"/>
                <w:szCs w:val="21"/>
              </w:rPr>
              <w:t>召开各类视频会议</w:t>
            </w:r>
          </w:p>
        </w:tc>
        <w:tc>
          <w:tcPr>
            <w:tcW w:w="205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left"/>
              <w:rPr>
                <w:rFonts w:hint="eastAsia" w:ascii="仿宋_GB2312" w:hAnsi="Times New Roman" w:cs="Times New Roman"/>
                <w:b/>
                <w:bCs/>
                <w:kern w:val="0"/>
                <w:sz w:val="21"/>
                <w:szCs w:val="21"/>
              </w:rPr>
            </w:pPr>
            <w:r>
              <w:rPr>
                <w:rFonts w:hint="eastAsia" w:ascii="仿宋_GB2312" w:hAnsi="Times New Roman" w:cs="Times New Roman"/>
                <w:b/>
                <w:bCs/>
                <w:kern w:val="0"/>
                <w:sz w:val="21"/>
                <w:szCs w:val="21"/>
              </w:rPr>
              <w:t>=60</w:t>
            </w:r>
          </w:p>
        </w:tc>
        <w:tc>
          <w:tcPr>
            <w:tcW w:w="1845"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left"/>
              <w:rPr>
                <w:rFonts w:hint="eastAsia" w:ascii="仿宋_GB2312" w:hAnsi="Times New Roman" w:cs="Times New Roman"/>
                <w:b/>
                <w:bCs/>
                <w:kern w:val="0"/>
                <w:sz w:val="21"/>
                <w:szCs w:val="21"/>
              </w:rPr>
            </w:pPr>
            <w:r>
              <w:rPr>
                <w:rFonts w:hint="eastAsia" w:ascii="仿宋_GB2312" w:hAnsi="Times New Roman" w:cs="Times New Roman"/>
                <w:b/>
                <w:bCs/>
                <w:kern w:val="0"/>
                <w:sz w:val="21"/>
                <w:szCs w:val="21"/>
              </w:rPr>
              <w:t>所有会议全部顺利召开</w:t>
            </w:r>
          </w:p>
        </w:tc>
        <w:tc>
          <w:tcPr>
            <w:tcW w:w="1701"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left"/>
              <w:rPr>
                <w:rFonts w:hint="eastAsia" w:ascii="仿宋_GB2312" w:hAnsi="Times New Roman" w:cs="Times New Roman"/>
                <w:b/>
                <w:bCs/>
                <w:kern w:val="0"/>
                <w:sz w:val="21"/>
                <w:szCs w:val="21"/>
              </w:rPr>
            </w:pPr>
            <w:r>
              <w:rPr>
                <w:rFonts w:hint="eastAsia" w:ascii="仿宋_GB2312" w:hAnsi="Times New Roman" w:cs="Times New Roman"/>
                <w:b/>
                <w:bCs/>
                <w:kern w:val="0"/>
                <w:sz w:val="21"/>
                <w:szCs w:val="21"/>
              </w:rPr>
              <w:t>=60</w:t>
            </w:r>
          </w:p>
        </w:tc>
      </w:tr>
    </w:tbl>
    <w:p>
      <w:pPr>
        <w:pStyle w:val="45"/>
        <w:ind w:firstLine="640" w:firstLineChars="200"/>
        <w:rPr>
          <w:rFonts w:hint="eastAsia"/>
        </w:rPr>
      </w:pPr>
      <w:r>
        <w:rPr>
          <w:rFonts w:hint="eastAsia"/>
        </w:rPr>
        <w:t>三、项目绩效情况</w:t>
      </w:r>
    </w:p>
    <w:p>
      <w:pPr>
        <w:spacing w:line="576" w:lineRule="exact"/>
        <w:ind w:firstLine="560"/>
        <w:rPr>
          <w:rFonts w:ascii="黑体" w:hAnsi="黑体" w:cs="Times New Roman"/>
          <w:b/>
          <w:bCs/>
          <w:smallCaps/>
          <w:color w:val="000000"/>
          <w:spacing w:val="5"/>
          <w:sz w:val="32"/>
          <w:szCs w:val="32"/>
        </w:rPr>
      </w:pPr>
      <w:r>
        <w:rPr>
          <w:rFonts w:ascii="Times New Roman" w:hAnsi="Times New Roman"/>
        </w:rPr>
        <w:t>（一）完成正常的指标</w:t>
      </w:r>
      <w:r>
        <w:rPr>
          <w:rFonts w:hint="eastAsia" w:ascii="Times New Roman" w:hAnsi="Times New Roman"/>
        </w:rPr>
        <w:t>：</w:t>
      </w:r>
      <w:r>
        <w:rPr>
          <w:rFonts w:hint="eastAsia"/>
        </w:rPr>
        <w:t>20</w:t>
      </w:r>
      <w:r>
        <w:rPr>
          <w:rFonts w:hint="eastAsia"/>
          <w:lang w:val="en-US" w:eastAsia="zh-CN"/>
        </w:rPr>
        <w:t>23</w:t>
      </w:r>
      <w:r>
        <w:rPr>
          <w:rFonts w:hint="eastAsia"/>
        </w:rPr>
        <w:t>年下达</w:t>
      </w:r>
      <w:r>
        <w:rPr>
          <w:rFonts w:hint="eastAsia" w:ascii="仿宋_GB2312" w:hAnsi="黑体" w:cs="Times New Roman"/>
          <w:kern w:val="0"/>
          <w:sz w:val="32"/>
          <w:szCs w:val="32"/>
          <w:lang w:bidi="en-US"/>
        </w:rPr>
        <w:t>县乡视频会议线路租用费</w:t>
      </w:r>
      <w:r>
        <w:rPr>
          <w:rFonts w:hint="eastAsia"/>
          <w:sz w:val="32"/>
          <w:szCs w:val="32"/>
        </w:rPr>
        <w:t>资金7万元，所有全部顺利召开。</w:t>
      </w:r>
    </w:p>
    <w:p>
      <w:pPr>
        <w:pStyle w:val="44"/>
        <w:ind w:firstLine="560"/>
      </w:pPr>
    </w:p>
    <w:p>
      <w:pPr>
        <w:pStyle w:val="45"/>
        <w:spacing w:before="0" w:after="0" w:line="576" w:lineRule="exact"/>
        <w:ind w:firstLine="640" w:firstLineChars="200"/>
        <w:jc w:val="both"/>
        <w:outlineLvl w:val="9"/>
        <w:rPr>
          <w:rFonts w:ascii="Times New Roman" w:hAnsi="Times New Roman" w:eastAsia="仿宋_GB2312"/>
        </w:rPr>
      </w:pPr>
      <w:r>
        <w:rPr>
          <w:rFonts w:ascii="Times New Roman" w:hAnsi="Times New Roman" w:eastAsia="仿宋_GB2312"/>
        </w:rPr>
        <w:t>（二）可能存在问题的指标</w:t>
      </w:r>
    </w:p>
    <w:p>
      <w:pPr>
        <w:pStyle w:val="45"/>
        <w:spacing w:before="0" w:after="0" w:line="576" w:lineRule="exact"/>
        <w:ind w:firstLine="640" w:firstLineChars="200"/>
        <w:jc w:val="both"/>
        <w:outlineLvl w:val="9"/>
        <w:rPr>
          <w:rFonts w:ascii="Times New Roman" w:hAnsi="Times New Roman" w:eastAsia="仿宋_GB2312"/>
        </w:rPr>
      </w:pPr>
      <w:r>
        <w:rPr>
          <w:rFonts w:ascii="Times New Roman" w:hAnsi="Times New Roman" w:eastAsia="仿宋_GB2312"/>
        </w:rPr>
        <w:t>（三）分项结论</w:t>
      </w:r>
      <w:r>
        <w:rPr>
          <w:rFonts w:hint="eastAsia" w:ascii="Times New Roman" w:hAnsi="Times New Roman" w:eastAsia="仿宋_GB2312"/>
        </w:rPr>
        <w:t>：</w:t>
      </w:r>
      <w:r>
        <w:rPr>
          <w:rFonts w:hint="eastAsia" w:ascii="Times New Roman" w:hAnsi="Times New Roman" w:eastAsia="仿宋_GB2312"/>
          <w:lang w:eastAsia="zh-CN"/>
        </w:rPr>
        <w:t>良好，完成了既定目标</w:t>
      </w:r>
    </w:p>
    <w:p>
      <w:pPr>
        <w:pStyle w:val="46"/>
        <w:spacing w:before="0" w:after="0" w:line="576" w:lineRule="exact"/>
        <w:ind w:left="0" w:leftChars="0" w:firstLine="640" w:firstLineChars="200"/>
        <w:jc w:val="both"/>
        <w:outlineLvl w:val="9"/>
        <w:rPr>
          <w:b w:val="0"/>
          <w:sz w:val="32"/>
        </w:rPr>
      </w:pPr>
      <w:r>
        <w:rPr>
          <w:b w:val="0"/>
          <w:sz w:val="32"/>
        </w:rPr>
        <w:t>（四）项目总体情况</w:t>
      </w:r>
      <w:r>
        <w:rPr>
          <w:rFonts w:hint="eastAsia"/>
          <w:b w:val="0"/>
          <w:sz w:val="32"/>
        </w:rPr>
        <w:t>：</w:t>
      </w:r>
      <w:r>
        <w:rPr>
          <w:rFonts w:hint="eastAsia"/>
          <w:b w:val="0"/>
          <w:sz w:val="32"/>
          <w:lang w:val="en-US" w:eastAsia="zh-CN"/>
        </w:rPr>
        <w:t>2023年下达</w:t>
      </w:r>
      <w:r>
        <w:rPr>
          <w:rFonts w:hint="eastAsia"/>
          <w:b w:val="0"/>
          <w:sz w:val="32"/>
        </w:rPr>
        <w:t>县乡视频会议线路租用费</w:t>
      </w:r>
      <w:r>
        <w:rPr>
          <w:rFonts w:hint="eastAsia"/>
          <w:b w:val="0"/>
          <w:sz w:val="32"/>
          <w:lang w:eastAsia="zh-CN"/>
        </w:rPr>
        <w:t>资金</w:t>
      </w:r>
      <w:r>
        <w:rPr>
          <w:rFonts w:hint="eastAsia"/>
          <w:b w:val="0"/>
          <w:sz w:val="32"/>
        </w:rPr>
        <w:t>7万元，切实保障了远程视频会议的召开及省、市政府机关重要会议的结转</w:t>
      </w:r>
      <w:r>
        <w:rPr>
          <w:rFonts w:hint="eastAsia"/>
          <w:b w:val="0"/>
          <w:sz w:val="32"/>
          <w:lang w:val="en-US" w:eastAsia="zh-CN"/>
        </w:rPr>
        <w:t>。</w:t>
      </w:r>
    </w:p>
    <w:p>
      <w:pPr>
        <w:pStyle w:val="45"/>
        <w:ind w:firstLine="640" w:firstLineChars="200"/>
        <w:rPr>
          <w:rFonts w:hint="eastAsia"/>
        </w:rPr>
      </w:pPr>
      <w:r>
        <w:rPr>
          <w:rFonts w:hint="eastAsia"/>
        </w:rPr>
        <w:t>四、改进措施</w:t>
      </w:r>
    </w:p>
    <w:p>
      <w:pPr>
        <w:spacing w:line="576" w:lineRule="exact"/>
        <w:ind w:firstLine="643"/>
        <w:rPr>
          <w:rFonts w:ascii="Times New Roman" w:hAnsi="Times New Roman" w:cs="Times New Roman"/>
          <w:sz w:val="32"/>
          <w:szCs w:val="32"/>
        </w:rPr>
      </w:pPr>
      <w:r>
        <w:rPr>
          <w:b/>
          <w:sz w:val="32"/>
        </w:rPr>
        <w:t>（一）项目整体建议</w:t>
      </w:r>
      <w:r>
        <w:rPr>
          <w:rFonts w:hint="eastAsia"/>
          <w:b/>
          <w:sz w:val="32"/>
        </w:rPr>
        <w:t>：</w:t>
      </w:r>
      <w:r>
        <w:rPr>
          <w:rFonts w:hint="eastAsia" w:ascii="Times New Roman" w:hAnsi="Times New Roman" w:cs="Times New Roman"/>
          <w:sz w:val="32"/>
          <w:szCs w:val="32"/>
        </w:rPr>
        <w:t>进一步提高绩效目标的科学性、合理性、严谨性,完善财务管理流程。</w:t>
      </w:r>
    </w:p>
    <w:p>
      <w:pPr>
        <w:pStyle w:val="46"/>
        <w:ind w:left="560"/>
        <w:rPr>
          <w:b w:val="0"/>
          <w:bCs w:val="0"/>
          <w:kern w:val="2"/>
          <w:sz w:val="32"/>
        </w:rPr>
      </w:pPr>
      <w:r>
        <w:rPr>
          <w:b w:val="0"/>
          <w:sz w:val="32"/>
        </w:rPr>
        <w:t>（二）对调整预算资金安排的建议</w:t>
      </w:r>
      <w:r>
        <w:rPr>
          <w:rFonts w:hint="eastAsia"/>
          <w:b w:val="0"/>
          <w:sz w:val="32"/>
        </w:rPr>
        <w:t>：无</w:t>
      </w:r>
    </w:p>
    <w:p>
      <w:pPr>
        <w:spacing w:line="576" w:lineRule="exact"/>
        <w:ind w:firstLine="643"/>
        <w:rPr>
          <w:rFonts w:ascii="Times New Roman" w:hAnsi="Times New Roman" w:cs="Times New Roman"/>
          <w:sz w:val="32"/>
          <w:szCs w:val="32"/>
        </w:rPr>
      </w:pPr>
      <w:r>
        <w:rPr>
          <w:b/>
          <w:sz w:val="32"/>
        </w:rPr>
        <w:t>（三）对项目管理的建议</w:t>
      </w:r>
      <w:r>
        <w:rPr>
          <w:rFonts w:hint="eastAsia"/>
          <w:b/>
          <w:sz w:val="32"/>
        </w:rPr>
        <w:t>：</w:t>
      </w:r>
      <w:r>
        <w:rPr>
          <w:rFonts w:hint="eastAsia" w:ascii="Times New Roman" w:hAnsi="Times New Roman" w:cs="Times New Roman"/>
          <w:sz w:val="32"/>
          <w:szCs w:val="32"/>
        </w:rPr>
        <w:t>建议完善专项资金管理办法及财务监控制度，明确使用标准及管理与监督细节，根据专项资金管理办法并严格按预算执行。进一步改进政府管理方式，提高行政效率，降低成本。</w:t>
      </w:r>
    </w:p>
    <w:p>
      <w:pPr>
        <w:pStyle w:val="46"/>
        <w:ind w:left="560"/>
        <w:rPr>
          <w:b w:val="0"/>
          <w:bCs w:val="0"/>
          <w:kern w:val="2"/>
          <w:sz w:val="32"/>
        </w:rPr>
      </w:pPr>
      <w:r>
        <w:rPr>
          <w:b w:val="0"/>
          <w:sz w:val="32"/>
        </w:rPr>
        <w:t>（四）对目标调整的建议</w:t>
      </w:r>
      <w:r>
        <w:rPr>
          <w:rFonts w:hint="eastAsia"/>
          <w:b w:val="0"/>
          <w:sz w:val="32"/>
        </w:rPr>
        <w:t>：无</w:t>
      </w:r>
    </w:p>
    <w:p>
      <w:pPr>
        <w:rPr>
          <w:rFonts w:hint="eastAsia" w:ascii="仿宋_GB2312" w:hAnsi="仿宋_GB2312" w:eastAsia="仿宋_GB2312" w:cs="仿宋_GB2312"/>
        </w:rPr>
      </w:pPr>
    </w:p>
    <w:p>
      <w:pPr>
        <w:pStyle w:val="2"/>
        <w:rPr>
          <w:rFonts w:hint="eastAsia" w:ascii="仿宋_GB2312" w:hAnsi="仿宋_GB2312" w:eastAsia="仿宋_GB2312" w:cs="仿宋_GB2312"/>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numPr>
        <w:ilvl w:val="0"/>
        <w:numId w:val="0"/>
      </w:numPr>
      <w:autoSpaceDE/>
      <w:autoSpaceDN/>
      <w:snapToGrid w:val="0"/>
      <w:spacing w:before="0" w:after="0" w:line="240" w:lineRule="auto"/>
      <w:ind w:left="0" w:right="0" w:firstLine="0"/>
      <w:jc w:val="left"/>
      <w:rPr>
        <w:rFonts w:hint="default" w:ascii="Calibri" w:hAnsi="Times New Roman" w:eastAsia="Times New Roman"/>
        <w:color w:val="auto"/>
        <w:positio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numPr>
        <w:ilvl w:val="0"/>
        <w:numId w:val="0"/>
      </w:numPr>
      <w:autoSpaceDE/>
      <w:autoSpaceDN/>
      <w:snapToGrid w:val="0"/>
      <w:spacing w:before="0" w:after="0" w:line="240" w:lineRule="auto"/>
      <w:ind w:left="0" w:right="0" w:firstLine="0"/>
      <w:jc w:val="left"/>
      <w:rPr>
        <w:rFonts w:hint="default" w:ascii="Calibri" w:hAnsi="Times New Roman" w:eastAsia="Times New Roman"/>
        <w:color w:val="auto"/>
        <w:positio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numPr>
        <w:ilvl w:val="0"/>
        <w:numId w:val="0"/>
      </w:numPr>
      <w:autoSpaceDE/>
      <w:autoSpaceDN/>
      <w:snapToGrid w:val="0"/>
      <w:spacing w:before="0" w:after="0" w:line="240" w:lineRule="auto"/>
      <w:ind w:left="0" w:right="0" w:firstLine="0"/>
      <w:jc w:val="left"/>
      <w:rPr>
        <w:rFonts w:hint="default" w:ascii="Calibri" w:hAnsi="Times New Roman" w:eastAsia="Times New Roman"/>
        <w:color w:val="auto"/>
        <w:positio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0"/>
        <w:numId w:val="0"/>
      </w:numPr>
      <w:pBdr>
        <w:bottom w:val="none" w:color="000000" w:sz="0" w:space="0"/>
      </w:pBdr>
      <w:autoSpaceDE/>
      <w:autoSpaceDN/>
      <w:snapToGrid w:val="0"/>
      <w:spacing w:before="0" w:after="0" w:line="240" w:lineRule="auto"/>
      <w:ind w:left="0" w:right="0" w:firstLine="0"/>
      <w:jc w:val="center"/>
      <w:rPr>
        <w:rFonts w:hint="default" w:ascii="Calibri" w:hAnsi="Times New Roman" w:eastAsia="Times New Roman"/>
        <w:color w:val="auto"/>
        <w:positio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0"/>
        <w:numId w:val="0"/>
      </w:numPr>
      <w:pBdr>
        <w:bottom w:val="single" w:color="000000" w:sz="6" w:space="0"/>
      </w:pBdr>
      <w:autoSpaceDE/>
      <w:autoSpaceDN/>
      <w:snapToGrid w:val="0"/>
      <w:spacing w:before="0" w:after="0" w:line="240" w:lineRule="auto"/>
      <w:ind w:left="0" w:right="0" w:firstLine="0"/>
      <w:jc w:val="center"/>
      <w:rPr>
        <w:rFonts w:hint="default" w:ascii="Calibri" w:hAnsi="Times New Roman" w:eastAsia="Times New Roman"/>
        <w:color w:val="auto"/>
        <w:positio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numPr>
        <w:ilvl w:val="0"/>
        <w:numId w:val="0"/>
      </w:numPr>
      <w:pBdr>
        <w:bottom w:val="single" w:color="000000" w:sz="6" w:space="0"/>
      </w:pBdr>
      <w:autoSpaceDE/>
      <w:autoSpaceDN/>
      <w:snapToGrid w:val="0"/>
      <w:spacing w:before="0" w:after="0" w:line="240" w:lineRule="auto"/>
      <w:ind w:left="0" w:right="0" w:firstLine="0"/>
      <w:jc w:val="center"/>
      <w:rPr>
        <w:rFonts w:hint="default" w:ascii="Calibri" w:hAnsi="Times New Roman" w:eastAsia="Times New Roman"/>
        <w:color w:val="auto"/>
        <w:positio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E28F"/>
    <w:multiLevelType w:val="singleLevel"/>
    <w:tmpl w:val="8743E2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noLineBreaksAfter w:lang="zh-CN" w:val="$([{£¥·‘“〈《「『【〔〖〝﹙﹛﹝＄（．［｛￡￥"/>
  <w:noLineBreaksBefore w:lang="zh-CN" w:val="$([{£¥·‘“〈《「『【〔〖〝﹙﹛﹝＄（．［｛￡￥"/>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ZTgxNmJlNzliMjJmYWVlZjE3YTgyZWE2NGY4OGY0NmYifQ=="/>
  </w:docVars>
  <w:rsids>
    <w:rsidRoot w:val="00000000"/>
    <w:rsid w:val="01541FBE"/>
    <w:rsid w:val="01CC1888"/>
    <w:rsid w:val="02832A46"/>
    <w:rsid w:val="037E7BF9"/>
    <w:rsid w:val="06191786"/>
    <w:rsid w:val="061D4061"/>
    <w:rsid w:val="068176BD"/>
    <w:rsid w:val="09F144FA"/>
    <w:rsid w:val="0B3D7269"/>
    <w:rsid w:val="0D4C4C67"/>
    <w:rsid w:val="10204305"/>
    <w:rsid w:val="120410E9"/>
    <w:rsid w:val="12EE24C3"/>
    <w:rsid w:val="14837361"/>
    <w:rsid w:val="16101AC2"/>
    <w:rsid w:val="1DAA7B87"/>
    <w:rsid w:val="1FFC6DC6"/>
    <w:rsid w:val="20553777"/>
    <w:rsid w:val="2CC34B54"/>
    <w:rsid w:val="340C04D6"/>
    <w:rsid w:val="34116DE4"/>
    <w:rsid w:val="3EAD3ED0"/>
    <w:rsid w:val="401E123E"/>
    <w:rsid w:val="44110F59"/>
    <w:rsid w:val="44B567CA"/>
    <w:rsid w:val="48B102D4"/>
    <w:rsid w:val="4B23219A"/>
    <w:rsid w:val="50AF405F"/>
    <w:rsid w:val="538108D6"/>
    <w:rsid w:val="53DE59A8"/>
    <w:rsid w:val="55676DD2"/>
    <w:rsid w:val="596A54DF"/>
    <w:rsid w:val="59C5546D"/>
    <w:rsid w:val="5E805317"/>
    <w:rsid w:val="61A727FA"/>
    <w:rsid w:val="629E3FB9"/>
    <w:rsid w:val="63B01DA5"/>
    <w:rsid w:val="64F87534"/>
    <w:rsid w:val="673D634A"/>
    <w:rsid w:val="67CB2041"/>
    <w:rsid w:val="6CD05E9D"/>
    <w:rsid w:val="70F96CBD"/>
    <w:rsid w:val="718F71BD"/>
    <w:rsid w:val="72C22F53"/>
    <w:rsid w:val="73322A8C"/>
    <w:rsid w:val="77247C84"/>
    <w:rsid w:val="7A0926FC"/>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3" w:semiHidden="0" w:name="header"/>
    <w:lsdException w:qFormat="1" w:unhideWhenUsed="0" w:uiPriority="155"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wordWrap/>
      <w:autoSpaceDE/>
      <w:autoSpaceDN/>
      <w:jc w:val="both"/>
    </w:pPr>
    <w:rPr>
      <w:rFonts w:ascii="Calibri" w:hAnsi="Calibri" w:eastAsia="Times New Roman" w:cstheme="minorBidi"/>
      <w:w w:val="100"/>
      <w:sz w:val="21"/>
      <w:szCs w:val="21"/>
      <w:shd w:val="clear"/>
    </w:rPr>
  </w:style>
  <w:style w:type="paragraph" w:styleId="3">
    <w:name w:val="heading 1"/>
    <w:next w:val="1"/>
    <w:qFormat/>
    <w:uiPriority w:val="7"/>
    <w:pPr>
      <w:widowControl/>
      <w:wordWrap/>
      <w:autoSpaceDE/>
      <w:autoSpaceDN/>
      <w:jc w:val="both"/>
    </w:pPr>
    <w:rPr>
      <w:rFonts w:ascii="Calibri" w:hAnsi="Calibri" w:eastAsia="Times New Roman" w:cstheme="minorBidi"/>
      <w:w w:val="100"/>
      <w:sz w:val="28"/>
      <w:szCs w:val="28"/>
      <w:shd w:val="clear"/>
    </w:rPr>
  </w:style>
  <w:style w:type="paragraph" w:styleId="4">
    <w:name w:val="heading 2"/>
    <w:basedOn w:val="1"/>
    <w:next w:val="5"/>
    <w:link w:val="39"/>
    <w:qFormat/>
    <w:uiPriority w:val="8"/>
    <w:pPr>
      <w:keepNext/>
      <w:keepLines/>
      <w:widowControl/>
      <w:wordWrap/>
      <w:autoSpaceDE/>
      <w:autoSpaceDN/>
    </w:pPr>
    <w:rPr>
      <w:rFonts w:ascii="Cambria" w:hAnsi="Cambria" w:eastAsia="Cambria"/>
      <w:b/>
      <w:w w:val="100"/>
      <w:sz w:val="32"/>
      <w:szCs w:val="32"/>
      <w:shd w:val="clear"/>
    </w:rPr>
  </w:style>
  <w:style w:type="paragraph" w:styleId="6">
    <w:name w:val="heading 3"/>
    <w:basedOn w:val="1"/>
    <w:next w:val="1"/>
    <w:qFormat/>
    <w:uiPriority w:val="9"/>
    <w:pPr>
      <w:widowControl/>
      <w:wordWrap/>
      <w:autoSpaceDE/>
      <w:autoSpaceDN/>
      <w:ind w:left="1000" w:hanging="400"/>
      <w:jc w:val="both"/>
    </w:pPr>
    <w:rPr>
      <w:rFonts w:ascii="Calibri" w:hAnsi="Calibri" w:eastAsia="Times New Roman" w:cstheme="minorBidi"/>
      <w:w w:val="100"/>
      <w:sz w:val="21"/>
      <w:szCs w:val="21"/>
      <w:shd w:val="clear"/>
    </w:rPr>
  </w:style>
  <w:style w:type="paragraph" w:styleId="7">
    <w:name w:val="heading 4"/>
    <w:next w:val="1"/>
    <w:qFormat/>
    <w:uiPriority w:val="10"/>
    <w:pPr>
      <w:widowControl/>
      <w:wordWrap/>
      <w:autoSpaceDE/>
      <w:autoSpaceDN/>
      <w:ind w:left="1200" w:hanging="400"/>
      <w:jc w:val="both"/>
    </w:pPr>
    <w:rPr>
      <w:rFonts w:ascii="Calibri" w:hAnsi="Calibri" w:eastAsia="Times New Roman" w:cstheme="minorBidi"/>
      <w:b/>
      <w:w w:val="100"/>
      <w:sz w:val="21"/>
      <w:szCs w:val="21"/>
      <w:shd w:val="clear"/>
    </w:rPr>
  </w:style>
  <w:style w:type="paragraph" w:styleId="8">
    <w:name w:val="heading 5"/>
    <w:next w:val="1"/>
    <w:qFormat/>
    <w:uiPriority w:val="11"/>
    <w:pPr>
      <w:widowControl/>
      <w:wordWrap/>
      <w:autoSpaceDE/>
      <w:autoSpaceDN/>
      <w:ind w:left="1400" w:hanging="400"/>
      <w:jc w:val="both"/>
    </w:pPr>
    <w:rPr>
      <w:rFonts w:ascii="Calibri" w:hAnsi="Calibri" w:eastAsia="Times New Roman" w:cstheme="minorBidi"/>
      <w:w w:val="100"/>
      <w:sz w:val="21"/>
      <w:szCs w:val="21"/>
      <w:shd w:val="clear"/>
    </w:rPr>
  </w:style>
  <w:style w:type="paragraph" w:styleId="9">
    <w:name w:val="heading 6"/>
    <w:next w:val="1"/>
    <w:qFormat/>
    <w:uiPriority w:val="12"/>
    <w:pPr>
      <w:widowControl/>
      <w:wordWrap/>
      <w:autoSpaceDE/>
      <w:autoSpaceDN/>
      <w:ind w:left="1600" w:hanging="400"/>
      <w:jc w:val="both"/>
    </w:pPr>
    <w:rPr>
      <w:rFonts w:ascii="Calibri" w:hAnsi="Calibri" w:eastAsia="Times New Roman" w:cstheme="minorBidi"/>
      <w:b/>
      <w:w w:val="100"/>
      <w:sz w:val="21"/>
      <w:szCs w:val="21"/>
      <w:shd w:val="clear"/>
    </w:rPr>
  </w:style>
  <w:style w:type="paragraph" w:styleId="10">
    <w:name w:val="heading 7"/>
    <w:next w:val="1"/>
    <w:qFormat/>
    <w:uiPriority w:val="13"/>
    <w:pPr>
      <w:widowControl/>
      <w:wordWrap/>
      <w:autoSpaceDE/>
      <w:autoSpaceDN/>
      <w:ind w:left="1800" w:hanging="400"/>
      <w:jc w:val="both"/>
    </w:pPr>
    <w:rPr>
      <w:rFonts w:ascii="Calibri" w:hAnsi="Calibri" w:eastAsia="Times New Roman" w:cstheme="minorBidi"/>
      <w:w w:val="100"/>
      <w:sz w:val="21"/>
      <w:szCs w:val="21"/>
      <w:shd w:val="clear"/>
    </w:rPr>
  </w:style>
  <w:style w:type="paragraph" w:styleId="11">
    <w:name w:val="heading 8"/>
    <w:next w:val="1"/>
    <w:qFormat/>
    <w:uiPriority w:val="14"/>
    <w:pPr>
      <w:widowControl/>
      <w:wordWrap/>
      <w:autoSpaceDE/>
      <w:autoSpaceDN/>
      <w:ind w:left="2000" w:hanging="400"/>
      <w:jc w:val="both"/>
    </w:pPr>
    <w:rPr>
      <w:rFonts w:ascii="Calibri" w:hAnsi="Calibri" w:eastAsia="Times New Roman" w:cstheme="minorBidi"/>
      <w:w w:val="100"/>
      <w:sz w:val="21"/>
      <w:szCs w:val="21"/>
      <w:shd w:val="clear"/>
    </w:rPr>
  </w:style>
  <w:style w:type="paragraph" w:styleId="12">
    <w:name w:val="heading 9"/>
    <w:next w:val="1"/>
    <w:qFormat/>
    <w:uiPriority w:val="15"/>
    <w:pPr>
      <w:widowControl/>
      <w:wordWrap/>
      <w:autoSpaceDE/>
      <w:autoSpaceDN/>
      <w:ind w:left="2200" w:hanging="400"/>
      <w:jc w:val="both"/>
    </w:pPr>
    <w:rPr>
      <w:rFonts w:ascii="Calibri" w:hAnsi="Calibri" w:eastAsia="Times New Roman" w:cstheme="minorBidi"/>
      <w:w w:val="100"/>
      <w:sz w:val="21"/>
      <w:szCs w:val="21"/>
      <w:shd w:val="clear"/>
    </w:rPr>
  </w:style>
  <w:style w:type="character" w:default="1" w:styleId="27">
    <w:name w:val="Default Paragraph Font"/>
    <w:semiHidden/>
    <w:qFormat/>
    <w:uiPriority w:val="2"/>
  </w:style>
  <w:style w:type="table" w:default="1" w:styleId="26">
    <w:name w:val="Normal Table"/>
    <w:qFormat/>
    <w:uiPriority w:val="37"/>
    <w:tblPr>
      <w:tblCellMar>
        <w:top w:w="0" w:type="dxa"/>
        <w:left w:w="108" w:type="dxa"/>
        <w:bottom w:w="0" w:type="dxa"/>
        <w:right w:w="108" w:type="dxa"/>
      </w:tblCellMar>
    </w:tblPr>
  </w:style>
  <w:style w:type="paragraph" w:styleId="2">
    <w:name w:val="Body Text Indent 2"/>
    <w:basedOn w:val="1"/>
    <w:qFormat/>
    <w:uiPriority w:val="99"/>
    <w:pPr>
      <w:spacing w:line="480" w:lineRule="auto"/>
      <w:ind w:left="420" w:leftChars="200"/>
    </w:pPr>
  </w:style>
  <w:style w:type="paragraph" w:styleId="5">
    <w:name w:val="No Spacing"/>
    <w:qFormat/>
    <w:uiPriority w:val="5"/>
    <w:pPr>
      <w:widowControl/>
      <w:wordWrap/>
      <w:autoSpaceDE/>
      <w:autoSpaceDN/>
      <w:jc w:val="both"/>
    </w:pPr>
    <w:rPr>
      <w:rFonts w:ascii="Calibri" w:hAnsi="Calibri" w:eastAsia="Times New Roman" w:cstheme="minorBidi"/>
      <w:w w:val="100"/>
      <w:sz w:val="21"/>
      <w:szCs w:val="21"/>
      <w:shd w:val="clear"/>
    </w:rPr>
  </w:style>
  <w:style w:type="paragraph" w:styleId="13">
    <w:name w:val="toc 7"/>
    <w:next w:val="1"/>
    <w:unhideWhenUsed/>
    <w:qFormat/>
    <w:uiPriority w:val="34"/>
    <w:pPr>
      <w:widowControl/>
      <w:wordWrap/>
      <w:autoSpaceDE/>
      <w:autoSpaceDN/>
      <w:ind w:left="2550" w:firstLine="0"/>
      <w:jc w:val="both"/>
    </w:pPr>
    <w:rPr>
      <w:rFonts w:ascii="Calibri" w:hAnsi="Calibri" w:eastAsia="Times New Roman" w:cstheme="minorBidi"/>
      <w:w w:val="100"/>
      <w:sz w:val="21"/>
      <w:szCs w:val="21"/>
      <w:shd w:val="clear"/>
    </w:rPr>
  </w:style>
  <w:style w:type="paragraph" w:styleId="14">
    <w:name w:val="toc 5"/>
    <w:next w:val="1"/>
    <w:unhideWhenUsed/>
    <w:qFormat/>
    <w:uiPriority w:val="32"/>
    <w:pPr>
      <w:widowControl/>
      <w:wordWrap/>
      <w:autoSpaceDE/>
      <w:autoSpaceDN/>
      <w:ind w:left="1700" w:firstLine="0"/>
      <w:jc w:val="both"/>
    </w:pPr>
    <w:rPr>
      <w:rFonts w:ascii="Calibri" w:hAnsi="Calibri" w:eastAsia="Times New Roman" w:cstheme="minorBidi"/>
      <w:w w:val="100"/>
      <w:sz w:val="21"/>
      <w:szCs w:val="21"/>
      <w:shd w:val="clear"/>
    </w:rPr>
  </w:style>
  <w:style w:type="paragraph" w:styleId="15">
    <w:name w:val="toc 3"/>
    <w:next w:val="1"/>
    <w:unhideWhenUsed/>
    <w:qFormat/>
    <w:uiPriority w:val="30"/>
    <w:pPr>
      <w:widowControl/>
      <w:wordWrap/>
      <w:autoSpaceDE/>
      <w:autoSpaceDN/>
      <w:ind w:left="850" w:firstLine="0"/>
      <w:jc w:val="both"/>
    </w:pPr>
    <w:rPr>
      <w:rFonts w:ascii="Calibri" w:hAnsi="Calibri" w:eastAsia="Times New Roman" w:cstheme="minorBidi"/>
      <w:w w:val="100"/>
      <w:sz w:val="21"/>
      <w:szCs w:val="21"/>
      <w:shd w:val="clear"/>
    </w:rPr>
  </w:style>
  <w:style w:type="paragraph" w:styleId="16">
    <w:name w:val="toc 8"/>
    <w:next w:val="1"/>
    <w:unhideWhenUsed/>
    <w:qFormat/>
    <w:uiPriority w:val="35"/>
    <w:pPr>
      <w:widowControl/>
      <w:wordWrap/>
      <w:autoSpaceDE/>
      <w:autoSpaceDN/>
      <w:ind w:left="2975" w:firstLine="0"/>
      <w:jc w:val="both"/>
    </w:pPr>
    <w:rPr>
      <w:rFonts w:ascii="Calibri" w:hAnsi="Calibri" w:eastAsia="Times New Roman" w:cstheme="minorBidi"/>
      <w:w w:val="100"/>
      <w:sz w:val="21"/>
      <w:szCs w:val="21"/>
      <w:shd w:val="clear"/>
    </w:rPr>
  </w:style>
  <w:style w:type="paragraph" w:styleId="17">
    <w:name w:val="footer"/>
    <w:basedOn w:val="1"/>
    <w:link w:val="41"/>
    <w:qFormat/>
    <w:uiPriority w:val="155"/>
    <w:pPr>
      <w:widowControl/>
      <w:tabs>
        <w:tab w:val="center" w:pos="4153"/>
        <w:tab w:val="right" w:pos="8306"/>
      </w:tabs>
      <w:wordWrap/>
      <w:autoSpaceDE/>
      <w:autoSpaceDN/>
    </w:pPr>
    <w:rPr>
      <w:w w:val="100"/>
      <w:sz w:val="18"/>
      <w:szCs w:val="18"/>
      <w:shd w:val="clear"/>
    </w:rPr>
  </w:style>
  <w:style w:type="paragraph" w:styleId="18">
    <w:name w:val="header"/>
    <w:basedOn w:val="1"/>
    <w:link w:val="40"/>
    <w:qFormat/>
    <w:uiPriority w:val="153"/>
    <w:pPr>
      <w:widowControl/>
      <w:tabs>
        <w:tab w:val="center" w:pos="4153"/>
        <w:tab w:val="right" w:pos="8306"/>
      </w:tabs>
      <w:wordWrap/>
      <w:autoSpaceDE/>
      <w:autoSpaceDN/>
      <w:jc w:val="center"/>
    </w:pPr>
    <w:rPr>
      <w:w w:val="100"/>
      <w:sz w:val="18"/>
      <w:szCs w:val="18"/>
      <w:shd w:val="clear"/>
    </w:rPr>
  </w:style>
  <w:style w:type="paragraph" w:styleId="19">
    <w:name w:val="toc 1"/>
    <w:next w:val="1"/>
    <w:unhideWhenUsed/>
    <w:qFormat/>
    <w:uiPriority w:val="28"/>
    <w:pPr>
      <w:widowControl/>
      <w:wordWrap/>
      <w:autoSpaceDE/>
      <w:autoSpaceDN/>
      <w:jc w:val="both"/>
    </w:pPr>
    <w:rPr>
      <w:rFonts w:ascii="Calibri" w:hAnsi="Calibri" w:eastAsia="Times New Roman" w:cstheme="minorBidi"/>
      <w:w w:val="100"/>
      <w:sz w:val="21"/>
      <w:szCs w:val="21"/>
      <w:shd w:val="clear"/>
    </w:rPr>
  </w:style>
  <w:style w:type="paragraph" w:styleId="20">
    <w:name w:val="toc 4"/>
    <w:next w:val="1"/>
    <w:unhideWhenUsed/>
    <w:qFormat/>
    <w:uiPriority w:val="31"/>
    <w:pPr>
      <w:widowControl/>
      <w:wordWrap/>
      <w:autoSpaceDE/>
      <w:autoSpaceDN/>
      <w:ind w:left="1275" w:firstLine="0"/>
      <w:jc w:val="both"/>
    </w:pPr>
    <w:rPr>
      <w:rFonts w:ascii="Calibri" w:hAnsi="Calibri" w:eastAsia="Times New Roman" w:cstheme="minorBidi"/>
      <w:w w:val="100"/>
      <w:sz w:val="21"/>
      <w:szCs w:val="21"/>
      <w:shd w:val="clear"/>
    </w:rPr>
  </w:style>
  <w:style w:type="paragraph" w:styleId="21">
    <w:name w:val="Subtitle"/>
    <w:qFormat/>
    <w:uiPriority w:val="16"/>
    <w:pPr>
      <w:widowControl/>
      <w:wordWrap/>
      <w:autoSpaceDE/>
      <w:autoSpaceDN/>
      <w:jc w:val="center"/>
    </w:pPr>
    <w:rPr>
      <w:rFonts w:ascii="Calibri" w:hAnsi="Calibri" w:eastAsia="Times New Roman" w:cstheme="minorBidi"/>
      <w:w w:val="100"/>
      <w:sz w:val="24"/>
      <w:szCs w:val="24"/>
      <w:shd w:val="clear"/>
    </w:rPr>
  </w:style>
  <w:style w:type="paragraph" w:styleId="22">
    <w:name w:val="toc 6"/>
    <w:next w:val="1"/>
    <w:unhideWhenUsed/>
    <w:qFormat/>
    <w:uiPriority w:val="33"/>
    <w:pPr>
      <w:widowControl/>
      <w:wordWrap/>
      <w:autoSpaceDE/>
      <w:autoSpaceDN/>
      <w:ind w:left="2125" w:firstLine="0"/>
      <w:jc w:val="both"/>
    </w:pPr>
    <w:rPr>
      <w:rFonts w:ascii="Calibri" w:hAnsi="Calibri" w:eastAsia="Times New Roman" w:cstheme="minorBidi"/>
      <w:w w:val="100"/>
      <w:sz w:val="21"/>
      <w:szCs w:val="21"/>
      <w:shd w:val="clear"/>
    </w:rPr>
  </w:style>
  <w:style w:type="paragraph" w:styleId="23">
    <w:name w:val="toc 2"/>
    <w:next w:val="1"/>
    <w:unhideWhenUsed/>
    <w:qFormat/>
    <w:uiPriority w:val="29"/>
    <w:pPr>
      <w:widowControl/>
      <w:wordWrap/>
      <w:autoSpaceDE/>
      <w:autoSpaceDN/>
      <w:ind w:left="425" w:firstLine="0"/>
      <w:jc w:val="both"/>
    </w:pPr>
    <w:rPr>
      <w:rFonts w:ascii="Calibri" w:hAnsi="Calibri" w:eastAsia="Times New Roman" w:cstheme="minorBidi"/>
      <w:w w:val="100"/>
      <w:sz w:val="21"/>
      <w:szCs w:val="21"/>
      <w:shd w:val="clear"/>
    </w:rPr>
  </w:style>
  <w:style w:type="paragraph" w:styleId="24">
    <w:name w:val="toc 9"/>
    <w:next w:val="1"/>
    <w:unhideWhenUsed/>
    <w:qFormat/>
    <w:uiPriority w:val="36"/>
    <w:pPr>
      <w:widowControl/>
      <w:wordWrap/>
      <w:autoSpaceDE/>
      <w:autoSpaceDN/>
      <w:ind w:left="3400" w:firstLine="0"/>
      <w:jc w:val="both"/>
    </w:pPr>
    <w:rPr>
      <w:rFonts w:ascii="Calibri" w:hAnsi="Calibri" w:eastAsia="Times New Roman" w:cstheme="minorBidi"/>
      <w:w w:val="100"/>
      <w:sz w:val="21"/>
      <w:szCs w:val="21"/>
      <w:shd w:val="clear"/>
    </w:rPr>
  </w:style>
  <w:style w:type="paragraph" w:styleId="25">
    <w:name w:val="Title"/>
    <w:basedOn w:val="1"/>
    <w:next w:val="1"/>
    <w:qFormat/>
    <w:uiPriority w:val="6"/>
    <w:pPr>
      <w:widowControl/>
      <w:wordWrap/>
      <w:autoSpaceDE/>
      <w:autoSpaceDN/>
      <w:jc w:val="center"/>
    </w:pPr>
    <w:rPr>
      <w:rFonts w:ascii="Calibri" w:hAnsi="Calibri" w:eastAsia="Times New Roman" w:cstheme="minorBidi"/>
      <w:b/>
      <w:w w:val="100"/>
      <w:sz w:val="32"/>
      <w:szCs w:val="32"/>
      <w:shd w:val="clear"/>
    </w:rPr>
  </w:style>
  <w:style w:type="character" w:styleId="28">
    <w:name w:val="Strong"/>
    <w:qFormat/>
    <w:uiPriority w:val="20"/>
    <w:rPr>
      <w:b/>
      <w:w w:val="100"/>
      <w:sz w:val="21"/>
      <w:szCs w:val="21"/>
      <w:shd w:val="clear"/>
    </w:rPr>
  </w:style>
  <w:style w:type="character" w:styleId="29">
    <w:name w:val="Emphasis"/>
    <w:qFormat/>
    <w:uiPriority w:val="18"/>
    <w:rPr>
      <w:i/>
      <w:w w:val="100"/>
      <w:sz w:val="21"/>
      <w:szCs w:val="21"/>
      <w:shd w:val="clear"/>
    </w:rPr>
  </w:style>
  <w:style w:type="character" w:customStyle="1" w:styleId="30">
    <w:name w:val="Subtle Emphasis"/>
    <w:qFormat/>
    <w:uiPriority w:val="17"/>
    <w:rPr>
      <w:i/>
      <w:color w:val="404040"/>
      <w:w w:val="100"/>
      <w:sz w:val="21"/>
      <w:szCs w:val="21"/>
      <w:shd w:val="clear"/>
    </w:rPr>
  </w:style>
  <w:style w:type="character" w:customStyle="1" w:styleId="31">
    <w:name w:val="Intense Emphasis"/>
    <w:qFormat/>
    <w:uiPriority w:val="19"/>
    <w:rPr>
      <w:i/>
      <w:color w:val="5B9BD5"/>
      <w:w w:val="100"/>
      <w:sz w:val="21"/>
      <w:szCs w:val="21"/>
      <w:shd w:val="clear"/>
    </w:rPr>
  </w:style>
  <w:style w:type="paragraph" w:styleId="32">
    <w:name w:val="Quote"/>
    <w:qFormat/>
    <w:uiPriority w:val="21"/>
    <w:pPr>
      <w:widowControl/>
      <w:wordWrap/>
      <w:autoSpaceDE/>
      <w:autoSpaceDN/>
      <w:ind w:left="864" w:right="864" w:firstLine="0"/>
      <w:jc w:val="center"/>
    </w:pPr>
    <w:rPr>
      <w:rFonts w:ascii="Calibri" w:hAnsi="Calibri" w:eastAsia="Times New Roman" w:cstheme="minorBidi"/>
      <w:i/>
      <w:color w:val="404040"/>
      <w:w w:val="100"/>
      <w:sz w:val="21"/>
      <w:szCs w:val="21"/>
      <w:shd w:val="clear"/>
    </w:rPr>
  </w:style>
  <w:style w:type="paragraph" w:styleId="33">
    <w:name w:val="Intense Quote"/>
    <w:qFormat/>
    <w:uiPriority w:val="22"/>
    <w:pPr>
      <w:widowControl/>
      <w:wordWrap/>
      <w:autoSpaceDE/>
      <w:autoSpaceDN/>
      <w:ind w:left="950" w:right="950" w:firstLine="0"/>
      <w:jc w:val="center"/>
    </w:pPr>
    <w:rPr>
      <w:rFonts w:ascii="Calibri" w:hAnsi="Calibri" w:eastAsia="Times New Roman" w:cstheme="minorBidi"/>
      <w:i/>
      <w:color w:val="5B9BD5"/>
      <w:w w:val="100"/>
      <w:sz w:val="21"/>
      <w:szCs w:val="21"/>
      <w:shd w:val="clear"/>
    </w:rPr>
  </w:style>
  <w:style w:type="character" w:customStyle="1" w:styleId="34">
    <w:name w:val="Subtle Reference"/>
    <w:qFormat/>
    <w:uiPriority w:val="23"/>
    <w:rPr>
      <w:smallCaps/>
      <w:color w:val="5A5A5A"/>
      <w:w w:val="100"/>
      <w:sz w:val="21"/>
      <w:szCs w:val="21"/>
      <w:shd w:val="clear"/>
    </w:rPr>
  </w:style>
  <w:style w:type="character" w:customStyle="1" w:styleId="35">
    <w:name w:val="Intense Reference"/>
    <w:qFormat/>
    <w:uiPriority w:val="24"/>
    <w:rPr>
      <w:b/>
      <w:smallCaps/>
      <w:color w:val="5B9BD5"/>
      <w:w w:val="100"/>
      <w:sz w:val="21"/>
      <w:szCs w:val="21"/>
      <w:shd w:val="clear"/>
    </w:rPr>
  </w:style>
  <w:style w:type="character" w:customStyle="1" w:styleId="36">
    <w:name w:val="Book Title"/>
    <w:qFormat/>
    <w:uiPriority w:val="25"/>
    <w:rPr>
      <w:b/>
      <w:i/>
      <w:w w:val="100"/>
      <w:sz w:val="21"/>
      <w:szCs w:val="21"/>
      <w:shd w:val="clear"/>
    </w:rPr>
  </w:style>
  <w:style w:type="paragraph" w:styleId="37">
    <w:name w:val="List Paragraph"/>
    <w:basedOn w:val="1"/>
    <w:qFormat/>
    <w:uiPriority w:val="26"/>
    <w:pPr>
      <w:widowControl/>
      <w:wordWrap/>
      <w:autoSpaceDE/>
      <w:autoSpaceDN/>
      <w:ind w:firstLine="420"/>
    </w:pPr>
  </w:style>
  <w:style w:type="paragraph" w:customStyle="1" w:styleId="38">
    <w:name w:val="TOC Heading"/>
    <w:unhideWhenUsed/>
    <w:qFormat/>
    <w:uiPriority w:val="27"/>
    <w:pPr>
      <w:widowControl/>
      <w:wordWrap/>
      <w:autoSpaceDE/>
      <w:autoSpaceDN/>
    </w:pPr>
    <w:rPr>
      <w:rFonts w:ascii="Calibri" w:hAnsi="Calibri" w:eastAsia="Times New Roman" w:cstheme="minorBidi"/>
      <w:color w:val="2E74B5"/>
      <w:w w:val="100"/>
      <w:sz w:val="32"/>
      <w:szCs w:val="32"/>
      <w:shd w:val="clear"/>
    </w:rPr>
  </w:style>
  <w:style w:type="character" w:customStyle="1" w:styleId="39">
    <w:name w:val="Heading 2 Char"/>
    <w:basedOn w:val="27"/>
    <w:link w:val="4"/>
    <w:qFormat/>
    <w:uiPriority w:val="152"/>
    <w:rPr>
      <w:rFonts w:ascii="Cambria" w:hAnsi="Cambria" w:eastAsia="Times New Roman"/>
      <w:b/>
      <w:w w:val="100"/>
      <w:sz w:val="32"/>
      <w:szCs w:val="32"/>
      <w:shd w:val="clear"/>
    </w:rPr>
  </w:style>
  <w:style w:type="character" w:customStyle="1" w:styleId="40">
    <w:name w:val="Header Char"/>
    <w:basedOn w:val="27"/>
    <w:link w:val="18"/>
    <w:semiHidden/>
    <w:qFormat/>
    <w:uiPriority w:val="154"/>
    <w:rPr>
      <w:rFonts w:ascii="宋体" w:hAnsi="宋体" w:eastAsia="Times New Roman"/>
      <w:w w:val="100"/>
      <w:sz w:val="18"/>
      <w:szCs w:val="18"/>
      <w:shd w:val="clear"/>
    </w:rPr>
  </w:style>
  <w:style w:type="character" w:customStyle="1" w:styleId="41">
    <w:name w:val="Footer Char"/>
    <w:basedOn w:val="27"/>
    <w:link w:val="17"/>
    <w:semiHidden/>
    <w:qFormat/>
    <w:uiPriority w:val="156"/>
    <w:rPr>
      <w:rFonts w:ascii="宋体" w:hAnsi="宋体" w:eastAsia="Times New Roman"/>
      <w:w w:val="100"/>
      <w:sz w:val="18"/>
      <w:szCs w:val="18"/>
      <w:shd w:val="clear"/>
    </w:rPr>
  </w:style>
  <w:style w:type="character" w:customStyle="1" w:styleId="42">
    <w:name w:val="font71"/>
    <w:basedOn w:val="27"/>
    <w:qFormat/>
    <w:uiPriority w:val="157"/>
    <w:rPr>
      <w:rFonts w:ascii="Times New Roman" w:hAnsi="Times New Roman" w:eastAsia="Times New Roman"/>
      <w:w w:val="100"/>
      <w:sz w:val="24"/>
      <w:szCs w:val="24"/>
      <w:shd w:val="clear"/>
    </w:rPr>
  </w:style>
  <w:style w:type="paragraph" w:customStyle="1" w:styleId="43">
    <w:name w:val="闻政-正文三级标题"/>
    <w:basedOn w:val="1"/>
    <w:next w:val="44"/>
    <w:qFormat/>
    <w:uiPriority w:val="3"/>
    <w:pPr>
      <w:widowControl/>
      <w:spacing w:before="120" w:after="60" w:line="500" w:lineRule="exact"/>
      <w:ind w:left="200" w:leftChars="200" w:firstLine="0" w:firstLineChars="0"/>
    </w:pPr>
    <w:rPr>
      <w:rFonts w:ascii="Times New Roman" w:hAnsi="Times New Roman" w:cs="Times New Roman"/>
      <w:b/>
      <w:kern w:val="0"/>
      <w:szCs w:val="28"/>
    </w:rPr>
  </w:style>
  <w:style w:type="paragraph" w:customStyle="1" w:styleId="44">
    <w:name w:val="闻政-正文段落文字"/>
    <w:basedOn w:val="1"/>
    <w:qFormat/>
    <w:uiPriority w:val="3"/>
    <w:pPr>
      <w:spacing w:line="500" w:lineRule="exact"/>
      <w:ind w:firstLine="200"/>
    </w:pPr>
    <w:rPr>
      <w:rFonts w:ascii="Times New Roman" w:hAnsi="Times New Roman" w:cs="Times New Roman"/>
      <w:kern w:val="0"/>
      <w:szCs w:val="28"/>
    </w:rPr>
  </w:style>
  <w:style w:type="paragraph" w:customStyle="1" w:styleId="45">
    <w:name w:val="闻政-正文一级标题"/>
    <w:basedOn w:val="6"/>
    <w:next w:val="44"/>
    <w:qFormat/>
    <w:uiPriority w:val="3"/>
    <w:pPr>
      <w:spacing w:before="120" w:after="60" w:line="500" w:lineRule="exact"/>
      <w:ind w:firstLine="0" w:firstLineChars="0"/>
      <w:outlineLvl w:val="0"/>
    </w:pPr>
    <w:rPr>
      <w:rFonts w:ascii="黑体" w:hAnsi="黑体" w:eastAsia="黑体"/>
      <w:sz w:val="32"/>
    </w:rPr>
  </w:style>
  <w:style w:type="paragraph" w:customStyle="1" w:styleId="46">
    <w:name w:val="闻政-正文二级标题"/>
    <w:basedOn w:val="4"/>
    <w:next w:val="44"/>
    <w:qFormat/>
    <w:uiPriority w:val="3"/>
    <w:pPr>
      <w:spacing w:before="120" w:after="60" w:line="500" w:lineRule="exact"/>
      <w:ind w:left="200" w:leftChars="200" w:firstLine="0" w:firstLineChars="0"/>
    </w:pPr>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6</Pages>
  <Words>2153</Words>
  <Characters>2389</Characters>
  <Lines>0</Lines>
  <Paragraphs>0</Paragraphs>
  <TotalTime>4</TotalTime>
  <ScaleCrop>false</ScaleCrop>
  <LinksUpToDate>false</LinksUpToDate>
  <CharactersWithSpaces>2529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2020-01-09T11:22:00Z</dcterms:created>
  <dc:creator>Administrator</dc:creator>
  <cp:lastModifiedBy>Administrator</cp:lastModifiedBy>
  <cp:lastPrinted>2023-06-04T06:50:00Z</cp:lastPrinted>
  <dcterms:modified xsi:type="dcterms:W3CDTF">2024-10-10T02:27:34Z</dcterms:modified>
  <dc:title>水管站绩效评价报告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31982E07D04240AAAEC444467D17D37B_13</vt:lpwstr>
  </property>
</Properties>
</file>