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2023年度刘堡镇部门整体支出绩效      自评报告</w:t>
      </w:r>
    </w:p>
    <w:p>
      <w:pPr>
        <w:jc w:val="both"/>
        <w:rPr>
          <w:rFonts w:hint="eastAsia" w:ascii="黑体" w:hAnsi="黑体" w:eastAsia="黑体" w:cs="黑体"/>
          <w:sz w:val="30"/>
          <w:szCs w:val="30"/>
          <w:lang w:val="en-US" w:eastAsia="zh-CN"/>
        </w:rPr>
      </w:pP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部门（单位）概况</w:t>
      </w:r>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机构组成</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2"/>
          <w:szCs w:val="32"/>
          <w:lang w:val="en-US" w:eastAsia="zh-CN"/>
        </w:rPr>
        <w:t xml:space="preserve">   刘堡镇党委、镇政府下设5个内设机构：党政综合办公室、党建工作办公室、经济发展和社会事务办公室（挂卫生健康办公室牌子）、社会治理和应急管理办公室、生态环境办公室。 镇人大办公室、镇纪委（监察室）、人民武装部、总工会、共青团、妇联等按有关规定或章程设置，接受镇党委的领导。 事业单位 下设5个公益一类事业单位：政务（便民）服务中心（挂退役军人服务站牌子）、公共事务服务中心（挂综合文化站牌子）、农业农村综合服务中心、社会治安综合治理中心、综合行政执法队。</w:t>
      </w:r>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机构职能</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综合办公室。负责党委、政府机关日常事务办理和综合协调等工作;负责意识形态、思想宣传、统一战线、机构编制、民族宗教、精神文明建设等工作;负责统筹推进权责清单制度建设工作;负责公文起草审核、文电收发、保密、机要、政务公开、档案资产管理、督查考核、人事劳资、机关后勤等工作;负责人大建议、政协提案办理和政协委员联络等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建工作办公室。负责基层党的政治建设、思想建设、组织建设、作风建设和制度建设等工作;负责党员干部监督管理、教育培训、考核考评和人才队伍建设等工作;负责党代会代表联络、离退休党员服务保障等相关工作;负责指导辖区内小微企业、社会组织及新领域、新业态、新群体党建工作;负责协调指导工会、团委、妇联等群团开展有关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发展和社会事务办公室(挂卫生健康办公室牌子)。负责制订实施国民经济和社会发展规划等工作;负责工信、科技、金融、审计、统计等工作;负责商贸物流、电子商务等工作;负责镇村振兴战略具体实施，各类涉农资金监管、产业发展规划、招商引资、镇村规划、新型城镇化建设等工作;负责社会保障、社会救助、卫生健康、医疗保障、住房保障、公共就业、劳动保障、教育、计划生育、民政事务、农村社区管理等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理和应急管理办公室。负责基层民主政治建设和村社治理、政法、综治维稳、网络安全、舆情监测、护路护线、禁毒、反邪教、信访投诉、人民调解、行政调解、平安建设等工作;负责人民防空、安全生产、交通安全、粮食安全、物资储备等工作;负责网格化监管任务和事项清单制订完善，研判预警、协调联动、问题转办、督查考核等工作;负责各类自然灾害和公共突发事件应急预案的制订实施工作;负责防汛抗旱、森林草原防火、地震和地质灾害等防灾救灾减灾及突发公共事件的应急管理、救援和处置工作;负责各种防灾救灾物资设施的保障维护、分配管理和监督使用等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环境办公室。负责生态文明建设，组织实施生态环境保护、污染防治攻坚、各类环境资源综合保护及规划利用等工作;负责农村饮用水源地保护、生活污水和垃圾分类处理、畜牧水产养殖污染防治、农业面源污染防治、大气污染防治、土壤污染防治等工作;负责河道管理、流域环境治理、农村人居环境整治和全域无垃圾等工作;负责做好辖区生态环境污染的监督检查、调查处理的配合协调等相关工作;负责各类自然资源的保护开发利用等工作。</w:t>
      </w:r>
    </w:p>
    <w:p>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农村综合服务中心(挂农产品质量检测服务中心、农村公路管理所牌子)。负责农林水牧渔等方面的技术引进、推广、服务和应用等工作;负责农业合作经济组织建设发展、产业开发、农村经营等工作;负责农业机械化技术推广等工作;负责各类技术人才和职业农民的教育、培训、业务指导等工作;负责各类农业灾害防治、农作物病虫害监测防治、动植物疫病防控防治等工作;负责农产品质量检验检测等工作;负责农村公路管护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便民)服务中心(挂退役军人服务站牌子)。负责各项政务服务事项受理办理等工作;负责12345政务服务热线转办受理工作;负责指导村社便民服务站和网上服务站点建设管理工作;负责修订完善公共服务事项目录清单、办事指南和工作规程等工作;负责推行“-站式”服务和“最多跑一次改革”各项工作;负责社会救助、社会保障、医疗保险、养老保险、社会保险、计生、卫生、老龄、婚姻、不动产登记等便民服务工作;负责退役军人来信来访、权益维护、拥军优抚、信息采集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安综合治理中心。负责社会治安防控体系建设、平安创建活动等工作;负责基本网格单元划分，统筹网格内党的建设、社会保障、综合治理、应急管理、社会救助等多网合一工作;负责整合党的建设、综合治理、村社治理、数字城管等各系统指挥信息资源，做好一体化的信息系统和综合指挥平台的建设、管理维护、技术服务、信息监测监控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事务服务中心(挂综合文化站牌子)。负责镇村建设、园林绿化、卫生清理、防污减排、危旧房改造、改水改厕、基础设施建设等工作;负责各类项目建设服务保障等工作;负责水、电、气、暖、通讯、道路交通及其他公共事务的服务协调保障工作;负责镇村公共文化体系建设和镇村文明等工作;负责镇村旅游的规划指导、宣传建设、开发利用等工作;负责古村古镇、建筑群、遗迹及各类文物的普查保护，以及非物质文化遗产的保护、普及、传承、开发等工作;负责成担各级各类文化体育活动、文艺演出的组织开展、协调配合、服务保障等工作;负责广播电视资源普查挖掘、保护利用及应急广播体系建设等工作;负责文化体育活动场馆等文化平台的建设管理和维护保障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综合行政执法队。根据张家川县人民政府赋予镇镇的部分县级经济社会管理权限，按照有关法律规定相对集中行使行政处罚权;负责权限外执法事项的日常巡查、接受投诉举报和协助调查取证等工作。</w:t>
      </w:r>
    </w:p>
    <w:p>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堡镇工会、妇联和共青团等群众团体机构，按照有关法规和章程设置，履行相应职能。刘堡镇人大办公室、监察室、人民武装部、财政所、扶贫工作站等机构按有关规定设置，履行相关职责，接受镇党委的领导。</w:t>
      </w:r>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人员概况</w:t>
      </w:r>
    </w:p>
    <w:p>
      <w:pPr>
        <w:numPr>
          <w:ilvl w:val="0"/>
          <w:numId w:val="4"/>
        </w:numPr>
        <w:tabs>
          <w:tab w:val="left" w:pos="0"/>
          <w:tab w:val="clear" w:pos="312"/>
        </w:tabs>
        <w:ind w:firstLine="64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刘堡镇核定机关行政编制22名，机关工勤2名。刘堡镇党政内设机构均为股级。刘堡镇核定全额拨款事业编制共32名。刘堡镇事业单位类别均为公益一类，综合行政执法队机构规格为正科级建制，其他事业单位机构规格为副科级建制。</w:t>
      </w: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部门财政资金收支情况</w:t>
      </w:r>
    </w:p>
    <w:p>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（一）部门财政资金收入情况</w:t>
      </w: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2023年部门决算财政拨款收入1408.32万元，其中一般公共预算财政拨款收入1408.32万元。</w:t>
      </w:r>
    </w:p>
    <w:p>
      <w:pPr>
        <w:numPr>
          <w:ilvl w:val="0"/>
          <w:numId w:val="5"/>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部门财政资金支出情况</w:t>
      </w:r>
    </w:p>
    <w:p>
      <w:pPr>
        <w:numPr>
          <w:ilvl w:val="0"/>
          <w:numId w:val="0"/>
        </w:numPr>
        <w:jc w:val="both"/>
        <w:rPr>
          <w:rFonts w:hint="default"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 xml:space="preserve">   2023年部门决算支出1408.32万元，年末结转0万元，其中基本支出1042.01万元，项目支出366.31万元；按支出经济分类：工资福利支出978.49万元，商品福利支出320.33万元，对个人和家庭补助支出83.79万元，资本性支出（基础建设）25.71万元；按支出功能分类：一般公共服务支出837.79万元，文化旅游体育与传媒支出7.11万元，社会保障和就业支出88.52万元，卫生健康支出36.738万元，节能环保支出24万元，城乡社区支出32.13万元，农林水支出256.8万元，自然资源海洋气象等支出10万元，住房保障支出73.22万元，灾害防治及应急管理支出42万元。</w:t>
      </w: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部门整体预算绩效管理情况</w:t>
      </w:r>
    </w:p>
    <w:p>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（一）部门预算管理</w:t>
      </w:r>
    </w:p>
    <w:p>
      <w:pPr>
        <w:numPr>
          <w:ilvl w:val="0"/>
          <w:numId w:val="0"/>
        </w:numPr>
        <w:ind w:left="19" w:leftChars="9" w:firstLine="620" w:firstLineChars="194"/>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中央八项规定</w:t>
      </w:r>
      <w:bookmarkStart w:id="0" w:name="_GoBack"/>
      <w:bookmarkEnd w:id="0"/>
      <w:r>
        <w:rPr>
          <w:rFonts w:hint="eastAsia" w:ascii="仿宋_GB2312" w:hAnsi="仿宋_GB2312" w:eastAsia="仿宋_GB2312" w:cs="仿宋_GB2312"/>
          <w:sz w:val="32"/>
          <w:szCs w:val="32"/>
          <w:lang w:val="en-US" w:eastAsia="zh-CN"/>
        </w:rPr>
        <w:t xml:space="preserve">、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镇经济、社会发展。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结果运用情况</w:t>
      </w:r>
    </w:p>
    <w:p>
      <w:pPr>
        <w:numPr>
          <w:ilvl w:val="0"/>
          <w:numId w:val="6"/>
        </w:numPr>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结果应用情况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1.年初部门预算绩效目标完成情况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我镇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(2)效益指标完成情况分析。我镇主要安排用于一般公共服务支出、社会保障和就业支出、卫生健康支出、节能环保支出、城镇社区支出、农林水支出、自然资源海洋气象等支出、灾害防治及应急管理支出等。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(3)满意度指标完成情况分析。通过财政绩效目标管理，基本达到满意。</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2.项目资金绩效目标完成情况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对项目资金的预算，提出具体的项目、目标和实施计划，精准编制项目支出绩效申报表，提供准确的项目支撑依据，切实做到项目资金编制的合理化、人性化，并在规定的时限内完整、准确的报送到县级财政部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评价结论及建议</w:t>
      </w:r>
    </w:p>
    <w:p>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评价结论</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根据部门整体支出绩效评价指标体系自评表检查情况，综合得分98分（总分为100分），总体考核等次确定为“优秀”。</w:t>
      </w:r>
    </w:p>
    <w:p>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存在问题</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1.管理制度不完善，无绩效管理相关制度。</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2.绩效评价工作未能全面开展宣传培训。自评覆盖率低，绩效评价质量不高。</w:t>
      </w:r>
    </w:p>
    <w:p>
      <w:pPr>
        <w:numPr>
          <w:ilvl w:val="0"/>
          <w:numId w:val="7"/>
        </w:numPr>
        <w:ind w:left="0" w:leftChars="0" w:firstLine="0" w:firstLine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改进建议</w:t>
      </w:r>
    </w:p>
    <w:p>
      <w:pPr>
        <w:numPr>
          <w:ilvl w:val="0"/>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1.完善绩效管理制度，全面公开较小信息，接受社会公众监督。</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2.加强评价结果应用。对绩效好的政策和项目原则上优先保障，对绩效一般的政策和项目要督促改进。</w:t>
      </w: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黑体" w:hAnsi="黑体" w:eastAsia="黑体" w:cs="黑体"/>
          <w:sz w:val="30"/>
          <w:szCs w:val="30"/>
          <w:lang w:val="en-US" w:eastAsia="zh-CN"/>
        </w:rPr>
      </w:pP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黑体" w:hAnsi="黑体" w:eastAsia="黑体" w:cs="黑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8C68D"/>
    <w:multiLevelType w:val="singleLevel"/>
    <w:tmpl w:val="B3F8C68D"/>
    <w:lvl w:ilvl="0" w:tentative="0">
      <w:start w:val="1"/>
      <w:numFmt w:val="chineseCounting"/>
      <w:suff w:val="nothing"/>
      <w:lvlText w:val="%1、"/>
      <w:lvlJc w:val="left"/>
      <w:rPr>
        <w:rFonts w:hint="eastAsia"/>
      </w:rPr>
    </w:lvl>
  </w:abstractNum>
  <w:abstractNum w:abstractNumId="1">
    <w:nsid w:val="B9445DB3"/>
    <w:multiLevelType w:val="singleLevel"/>
    <w:tmpl w:val="B9445DB3"/>
    <w:lvl w:ilvl="0" w:tentative="0">
      <w:start w:val="2"/>
      <w:numFmt w:val="chineseCounting"/>
      <w:suff w:val="nothing"/>
      <w:lvlText w:val="（%1）"/>
      <w:lvlJc w:val="left"/>
      <w:rPr>
        <w:rFonts w:hint="eastAsia"/>
      </w:rPr>
    </w:lvl>
  </w:abstractNum>
  <w:abstractNum w:abstractNumId="2">
    <w:nsid w:val="D24DBE41"/>
    <w:multiLevelType w:val="singleLevel"/>
    <w:tmpl w:val="D24DBE41"/>
    <w:lvl w:ilvl="0" w:tentative="0">
      <w:start w:val="1"/>
      <w:numFmt w:val="chineseCounting"/>
      <w:suff w:val="nothing"/>
      <w:lvlText w:val="（%1）"/>
      <w:lvlJc w:val="left"/>
      <w:rPr>
        <w:rFonts w:hint="eastAsia"/>
      </w:rPr>
    </w:lvl>
  </w:abstractNum>
  <w:abstractNum w:abstractNumId="3">
    <w:nsid w:val="DE4ECD6B"/>
    <w:multiLevelType w:val="singleLevel"/>
    <w:tmpl w:val="DE4ECD6B"/>
    <w:lvl w:ilvl="0" w:tentative="0">
      <w:start w:val="1"/>
      <w:numFmt w:val="chineseCounting"/>
      <w:suff w:val="nothing"/>
      <w:lvlText w:val="（%1）"/>
      <w:lvlJc w:val="left"/>
      <w:rPr>
        <w:rFonts w:hint="eastAsia"/>
      </w:rPr>
    </w:lvl>
  </w:abstractNum>
  <w:abstractNum w:abstractNumId="4">
    <w:nsid w:val="01C63BB2"/>
    <w:multiLevelType w:val="singleLevel"/>
    <w:tmpl w:val="01C63BB2"/>
    <w:lvl w:ilvl="0" w:tentative="0">
      <w:start w:val="1"/>
      <w:numFmt w:val="decimal"/>
      <w:lvlText w:val="%1."/>
      <w:lvlJc w:val="left"/>
      <w:pPr>
        <w:tabs>
          <w:tab w:val="left" w:pos="312"/>
        </w:tabs>
      </w:pPr>
    </w:lvl>
  </w:abstractNum>
  <w:abstractNum w:abstractNumId="5">
    <w:nsid w:val="3FD4AB63"/>
    <w:multiLevelType w:val="singleLevel"/>
    <w:tmpl w:val="3FD4AB63"/>
    <w:lvl w:ilvl="0" w:tentative="0">
      <w:start w:val="1"/>
      <w:numFmt w:val="decimal"/>
      <w:lvlText w:val="%1."/>
      <w:lvlJc w:val="left"/>
      <w:pPr>
        <w:tabs>
          <w:tab w:val="left" w:pos="312"/>
        </w:tabs>
      </w:pPr>
    </w:lvl>
  </w:abstractNum>
  <w:abstractNum w:abstractNumId="6">
    <w:nsid w:val="41B82468"/>
    <w:multiLevelType w:val="singleLevel"/>
    <w:tmpl w:val="41B82468"/>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M2RmZWRlZWYxZjg0MGQ1ZmJlODUyODU5ZjA4YmEifQ=="/>
  </w:docVars>
  <w:rsids>
    <w:rsidRoot w:val="421C3EF5"/>
    <w:rsid w:val="04BE4B89"/>
    <w:rsid w:val="0C150F63"/>
    <w:rsid w:val="1467076A"/>
    <w:rsid w:val="1C400DD2"/>
    <w:rsid w:val="20943C19"/>
    <w:rsid w:val="2E073C7C"/>
    <w:rsid w:val="3C1004C4"/>
    <w:rsid w:val="421C3EF5"/>
    <w:rsid w:val="42EB0A1B"/>
    <w:rsid w:val="48BC5937"/>
    <w:rsid w:val="4EFB2A6E"/>
    <w:rsid w:val="523E560F"/>
    <w:rsid w:val="59D50A38"/>
    <w:rsid w:val="5BF074F3"/>
    <w:rsid w:val="5C423F4D"/>
    <w:rsid w:val="68AB5C8E"/>
    <w:rsid w:val="6A203CA2"/>
    <w:rsid w:val="73D02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4446</Words>
  <Characters>4553</Characters>
  <Lines>0</Lines>
  <Paragraphs>0</Paragraphs>
  <TotalTime>25</TotalTime>
  <ScaleCrop>false</ScaleCrop>
  <LinksUpToDate>false</LinksUpToDate>
  <CharactersWithSpaces>4582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熊出没</dc:creator>
  <cp:lastModifiedBy>罗湾村</cp:lastModifiedBy>
  <dcterms:modified xsi:type="dcterms:W3CDTF">2024-10-12T08:19:02Z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10710530C9F446AC96C86D9FAFDD1729_13</vt:lpwstr>
  </property>
</Properties>
</file>