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张家川回族自治县供销合作社联合社</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36"/>
          <w:szCs w:val="36"/>
          <w:lang w:val="en-US" w:eastAsia="zh-CN" w:bidi="ar"/>
        </w:rPr>
        <w:t>部门整体支出绩效评价报告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 xml:space="preserve">据《中华人民共和国预算法》《中共中央 国务院关于全面实施预算绩效管理的意见》和《关于人大预算审查监督重点向支出预算和政策拓展的指导意见》等相关文件规定，对张家川回族自治县供销合作社联合社部门整体支出绩效评价，现将有关情况报告如下：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一、基本情况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_GB2312" w:cs="仿宋"/>
          <w:sz w:val="32"/>
          <w:szCs w:val="32"/>
          <w:lang w:eastAsia="zh-CN"/>
        </w:rPr>
      </w:pPr>
      <w:r>
        <w:rPr>
          <w:rFonts w:hint="eastAsia" w:ascii="仿宋_GB2312" w:hAnsi="仿宋_GB2312" w:eastAsia="仿宋_GB2312" w:cs="仿宋_GB2312"/>
          <w:sz w:val="32"/>
          <w:szCs w:val="32"/>
        </w:rPr>
        <w:t>张家川县供销合作社联合社为政府直属正科级全额拨款参照公务员管理的事业单位，经费独立核算，下设办公室、业务股、财务股</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个股室，核定编制</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人，全社有</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名工作人员，其中主任</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名，副主任</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名，办事人员</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名，事业人员</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整体支出情况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default" w:ascii="仿宋_GB2312" w:hAnsi="仿宋_GB2312" w:eastAsia="仿宋_GB2312" w:cs="仿宋_GB2312"/>
          <w:color w:val="000000"/>
          <w:kern w:val="0"/>
          <w:sz w:val="32"/>
          <w:szCs w:val="32"/>
          <w:shd w:val="clear" w:fill="FFFFFF"/>
          <w:lang w:val="en-US" w:eastAsia="zh-CN" w:bidi="ar"/>
        </w:rPr>
      </w:pPr>
      <w:r>
        <w:rPr>
          <w:rFonts w:hint="eastAsia" w:ascii="仿宋_GB2312" w:hAnsi="仿宋_GB2312" w:eastAsia="仿宋_GB2312" w:cs="仿宋_GB2312"/>
          <w:color w:val="000000"/>
          <w:kern w:val="0"/>
          <w:sz w:val="32"/>
          <w:szCs w:val="32"/>
          <w:shd w:val="clear" w:fill="FFFFFF"/>
          <w:lang w:val="en-US" w:eastAsia="zh-CN" w:bidi="ar"/>
        </w:rPr>
        <w:t>供销社</w:t>
      </w:r>
      <w:r>
        <w:rPr>
          <w:rFonts w:hint="eastAsia" w:ascii="Times New Roman" w:hAnsi="Times New Roman" w:eastAsia="仿宋_GB2312" w:cs="Times New Roman"/>
          <w:sz w:val="32"/>
          <w:szCs w:val="32"/>
          <w:lang w:val="en-US" w:eastAsia="zh-CN"/>
        </w:rPr>
        <w:t xml:space="preserve">2022 </w:t>
      </w:r>
      <w:r>
        <w:rPr>
          <w:rFonts w:hint="eastAsia" w:ascii="仿宋_GB2312" w:hAnsi="仿宋_GB2312" w:eastAsia="仿宋_GB2312" w:cs="仿宋_GB2312"/>
          <w:color w:val="000000"/>
          <w:kern w:val="0"/>
          <w:sz w:val="32"/>
          <w:szCs w:val="32"/>
          <w:shd w:val="clear" w:fill="FFFFFF"/>
          <w:lang w:val="en-US" w:eastAsia="zh-CN" w:bidi="ar"/>
        </w:rPr>
        <w:t>年度一般公共预算财政拨款</w:t>
      </w:r>
      <w:r>
        <w:rPr>
          <w:rFonts w:hint="eastAsia" w:ascii="仿宋_GB2312" w:hAnsi="仿宋_GB2312" w:eastAsia="仿宋_GB2312" w:cs="仿宋_GB2312"/>
          <w:color w:val="000000"/>
          <w:kern w:val="0"/>
          <w:sz w:val="32"/>
          <w:szCs w:val="32"/>
          <w:shd w:val="clear" w:fill="FFFFFF"/>
          <w:lang w:val="zh-CN" w:eastAsia="zh-CN" w:bidi="ar"/>
        </w:rPr>
        <w:t>基本支出</w:t>
      </w:r>
      <w:r>
        <w:rPr>
          <w:rFonts w:hint="eastAsia" w:ascii="仿宋_GB2312" w:hAnsi="黑体" w:eastAsia="仿宋_GB2312"/>
          <w:sz w:val="32"/>
          <w:szCs w:val="32"/>
          <w:lang w:val="en-US" w:eastAsia="zh-CN"/>
        </w:rPr>
        <w:t>192.29</w:t>
      </w:r>
      <w:r>
        <w:rPr>
          <w:rFonts w:hint="eastAsia" w:ascii="仿宋_GB2312" w:hAnsi="仿宋_GB2312" w:eastAsia="仿宋_GB2312" w:cs="仿宋_GB2312"/>
          <w:color w:val="000000"/>
          <w:kern w:val="0"/>
          <w:sz w:val="32"/>
          <w:szCs w:val="32"/>
          <w:shd w:val="clear" w:fill="FFFFFF"/>
          <w:lang w:val="zh-CN" w:eastAsia="zh-CN" w:bidi="ar"/>
        </w:rPr>
        <w:t>万元,占</w:t>
      </w:r>
      <w:r>
        <w:rPr>
          <w:rFonts w:hint="eastAsia" w:ascii="Times New Roman" w:hAnsi="Times New Roman" w:eastAsia="仿宋_GB2312" w:cs="Times New Roman"/>
          <w:sz w:val="32"/>
          <w:szCs w:val="32"/>
          <w:lang w:val="en-US" w:eastAsia="zh-CN"/>
        </w:rPr>
        <w:t>91.6</w:t>
      </w:r>
      <w:r>
        <w:rPr>
          <w:rFonts w:hint="eastAsia" w:ascii="仿宋_GB2312" w:hAnsi="仿宋_GB2312" w:eastAsia="仿宋_GB2312" w:cs="仿宋_GB2312"/>
          <w:color w:val="000000"/>
          <w:kern w:val="0"/>
          <w:sz w:val="32"/>
          <w:szCs w:val="32"/>
          <w:shd w:val="clear" w:fill="FFFFFF"/>
          <w:lang w:val="zh-CN" w:eastAsia="zh-CN" w:bidi="ar"/>
        </w:rPr>
        <w:t>%；项目支出</w:t>
      </w:r>
      <w:r>
        <w:rPr>
          <w:rFonts w:hint="eastAsia" w:ascii="仿宋_GB2312" w:hAnsi="仿宋_GB2312" w:eastAsia="仿宋_GB2312" w:cs="仿宋_GB2312"/>
          <w:color w:val="auto"/>
          <w:sz w:val="32"/>
          <w:szCs w:val="32"/>
          <w:lang w:val="zh-CN"/>
        </w:rPr>
        <w:t>17.63</w:t>
      </w:r>
      <w:r>
        <w:rPr>
          <w:rFonts w:hint="eastAsia" w:ascii="仿宋_GB2312" w:hAnsi="仿宋_GB2312" w:eastAsia="仿宋_GB2312" w:cs="仿宋_GB2312"/>
          <w:color w:val="000000"/>
          <w:kern w:val="0"/>
          <w:sz w:val="32"/>
          <w:szCs w:val="32"/>
          <w:shd w:val="clear" w:fill="FFFFFF"/>
          <w:lang w:val="zh-CN" w:eastAsia="zh-CN" w:bidi="ar"/>
        </w:rPr>
        <w:t>万元,占</w:t>
      </w:r>
      <w:r>
        <w:rPr>
          <w:rFonts w:hint="eastAsia" w:ascii="Times New Roman" w:hAnsi="Times New Roman" w:eastAsia="仿宋_GB2312" w:cs="Times New Roman"/>
          <w:sz w:val="32"/>
          <w:szCs w:val="32"/>
          <w:lang w:val="en-US" w:eastAsia="zh-CN"/>
        </w:rPr>
        <w:t>8.4</w:t>
      </w:r>
      <w:r>
        <w:rPr>
          <w:rFonts w:hint="eastAsia" w:ascii="仿宋_GB2312" w:hAnsi="仿宋_GB2312" w:eastAsia="仿宋_GB2312" w:cs="仿宋_GB2312"/>
          <w:color w:val="000000"/>
          <w:kern w:val="0"/>
          <w:sz w:val="32"/>
          <w:szCs w:val="32"/>
          <w:shd w:val="clear" w:fill="FFFFFF"/>
          <w:lang w:val="zh-CN" w:eastAsia="zh-CN" w:bidi="ar"/>
        </w:rPr>
        <w:t>%；</w:t>
      </w:r>
      <w:r>
        <w:rPr>
          <w:rFonts w:hint="eastAsia" w:ascii="仿宋_GB2312" w:hAnsi="仿宋_GB2312" w:eastAsia="仿宋_GB2312" w:cs="仿宋_GB2312"/>
          <w:color w:val="000000"/>
          <w:kern w:val="0"/>
          <w:sz w:val="32"/>
          <w:szCs w:val="32"/>
          <w:shd w:val="clear" w:fill="FFFFFF"/>
          <w:lang w:val="en-US" w:eastAsia="zh-CN" w:bidi="ar"/>
        </w:rPr>
        <w:t>，其中：1.人员经费</w:t>
      </w:r>
      <w:r>
        <w:rPr>
          <w:rFonts w:hint="eastAsia" w:ascii="仿宋_GB2312" w:hAnsi="仿宋_GB2312" w:eastAsia="仿宋_GB2312" w:cs="仿宋_GB2312"/>
          <w:color w:val="auto"/>
          <w:sz w:val="32"/>
          <w:szCs w:val="32"/>
          <w:lang w:val="zh-CN"/>
        </w:rPr>
        <w:t>187.49万元。人员经费</w:t>
      </w:r>
      <w:r>
        <w:rPr>
          <w:rFonts w:hint="eastAsia" w:ascii="仿宋_GB2312" w:hAnsi="仿宋_GB2312" w:eastAsia="仿宋_GB2312" w:cs="仿宋_GB2312"/>
          <w:color w:val="auto"/>
          <w:sz w:val="32"/>
          <w:szCs w:val="32"/>
          <w:lang w:val="en-US" w:eastAsia="zh-CN"/>
        </w:rPr>
        <w:t>主要包括基本工75.18万元、津贴补贴69.3万元、奖金5.52万元、机关事业单位基本养老保险缴费16.4万元、职工基本医疗保险缴费6.66万元、其他社会保障缴费0.12万元、住房公积缴费12.08万元、对个人家庭补助2.23万元。</w:t>
      </w:r>
      <w:r>
        <w:rPr>
          <w:rFonts w:hint="eastAsia" w:ascii="仿宋_GB2312" w:hAnsi="仿宋_GB2312" w:eastAsia="仿宋_GB2312" w:cs="仿宋_GB2312"/>
          <w:color w:val="000000"/>
          <w:kern w:val="0"/>
          <w:sz w:val="32"/>
          <w:szCs w:val="32"/>
          <w:shd w:val="clear" w:fill="FFFFFF"/>
          <w:lang w:val="en-US" w:eastAsia="zh-CN" w:bidi="ar"/>
        </w:rPr>
        <w:t>3.项目经费主要供销社综合改革。</w:t>
      </w:r>
    </w:p>
    <w:p>
      <w:pPr>
        <w:spacing w:before="100" w:beforeLines="0" w:after="100" w:afterLines="0"/>
        <w:ind w:firstLine="640" w:firstLineChars="200"/>
        <w:jc w:val="left"/>
        <w:rPr>
          <w:sz w:val="32"/>
          <w:szCs w:val="32"/>
        </w:rPr>
      </w:pPr>
      <w:r>
        <w:rPr>
          <w:rFonts w:hint="eastAsia" w:ascii="黑体" w:hAnsi="宋体" w:eastAsia="黑体" w:cs="黑体"/>
          <w:color w:val="000000"/>
          <w:kern w:val="0"/>
          <w:sz w:val="32"/>
          <w:szCs w:val="32"/>
          <w:lang w:val="en-US" w:eastAsia="zh-CN" w:bidi="ar"/>
        </w:rPr>
        <w:t xml:space="preserve">三、整体支出绩效评价工作情况及评价结论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本次绩效评价对象为部门整体支出情况，从部门整体支出依据、目标、组织实施、预算需求、执行效果等方面入手，对部门整体支出的实施情况和实施效果进行全面的分析和评价，重点分析</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年部门整体支出的实施情况,涉及金额</w:t>
      </w:r>
      <w:r>
        <w:rPr>
          <w:rFonts w:hint="eastAsia" w:ascii="Times New Roman" w:hAnsi="Times New Roman" w:eastAsia="仿宋_GB2312" w:cs="Times New Roman"/>
          <w:sz w:val="32"/>
          <w:szCs w:val="32"/>
          <w:lang w:val="en-US" w:eastAsia="zh-CN"/>
        </w:rPr>
        <w:t>209.92</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 xml:space="preserve">。通过开展绩效评价工作，对部门整体支出完成情况进行全面了解，对部门整体支出执行情况和实施效果进行分析评价，总结经验及存在的问题，为县级财政资金的安排提供决策依据。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评价指标体系。</w:t>
      </w:r>
      <w:r>
        <w:rPr>
          <w:rFonts w:hint="eastAsia" w:ascii="仿宋" w:hAnsi="仿宋" w:eastAsia="仿宋" w:cs="仿宋"/>
          <w:color w:val="000000"/>
          <w:kern w:val="0"/>
          <w:sz w:val="32"/>
          <w:szCs w:val="32"/>
          <w:lang w:val="en-US" w:eastAsia="zh-CN" w:bidi="ar"/>
        </w:rPr>
        <w:t>主要包括部门整体产出效果、影响力等方面，从预算执行情况、资金使用规范性、社会满意度等方面进行评价打分，满分为</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评价方法及实施。</w:t>
      </w:r>
      <w:r>
        <w:rPr>
          <w:rFonts w:hint="eastAsia" w:ascii="仿宋" w:hAnsi="仿宋" w:eastAsia="仿宋" w:cs="仿宋"/>
          <w:color w:val="000000"/>
          <w:kern w:val="0"/>
          <w:sz w:val="32"/>
          <w:szCs w:val="32"/>
          <w:lang w:val="en-US" w:eastAsia="zh-CN" w:bidi="ar"/>
        </w:rPr>
        <w:t>评价方法参照评价指标体系，以是否完成目标任务为标准进行。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评价结论。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张家川回族自治县供销合作社联合社部门整体支出绩效评为提高全面深化供销社综合改革，提升为农服务能力和水平。强化了依据供销合作社综合改革的发展任务，建立健全为农服务体系，做好农资储备、供应和废旧物资再生资源的经营管理。提升为农服务根本宗旨。</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四、整体支出绩效评价指标完成情况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1.截止</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年年底，张家川回族自治县城市管理行政执法局整体支出</w:t>
      </w:r>
      <w:r>
        <w:rPr>
          <w:rFonts w:hint="eastAsia" w:ascii="Times New Roman" w:hAnsi="Times New Roman" w:eastAsia="仿宋_GB2312" w:cs="Times New Roman"/>
          <w:sz w:val="32"/>
          <w:szCs w:val="32"/>
          <w:lang w:val="en-US" w:eastAsia="zh-CN"/>
        </w:rPr>
        <w:t>209.92</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2.指标完成情况具体如下：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数量目标：支付</w:t>
      </w:r>
      <w:r>
        <w:rPr>
          <w:rFonts w:hint="eastAsia" w:ascii="Times New Roman" w:hAnsi="Times New Roman" w:eastAsia="仿宋_GB2312" w:cs="Times New Roman"/>
          <w:sz w:val="32"/>
          <w:szCs w:val="32"/>
          <w:lang w:val="en-US" w:eastAsia="zh-CN"/>
        </w:rPr>
        <w:t>16</w:t>
      </w:r>
      <w:r>
        <w:rPr>
          <w:rFonts w:hint="eastAsia" w:ascii="仿宋" w:hAnsi="仿宋" w:eastAsia="仿宋" w:cs="仿宋"/>
          <w:color w:val="000000"/>
          <w:kern w:val="0"/>
          <w:sz w:val="32"/>
          <w:szCs w:val="32"/>
          <w:lang w:val="en-US" w:eastAsia="zh-CN" w:bidi="ar"/>
        </w:rPr>
        <w:t>人全年工资。确保部门的正常运转。</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质量目标：支付职工工资准确率达</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%，落实深化供销社综合改革达到</w:t>
      </w:r>
      <w:r>
        <w:rPr>
          <w:rFonts w:hint="eastAsia" w:ascii="Times New Roman" w:hAnsi="Times New Roman" w:eastAsia="仿宋_GB2312" w:cs="Times New Roman"/>
          <w:sz w:val="32"/>
          <w:szCs w:val="32"/>
          <w:lang w:val="en-US" w:eastAsia="zh-CN"/>
        </w:rPr>
        <w:t>98</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社会效益：建立健全为农服务体系，提升为农服务能力。</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经济效益：增强与农民的联系，优化营商环境。</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满意度：群众满意度</w:t>
      </w:r>
      <w:r>
        <w:rPr>
          <w:rFonts w:hint="eastAsia" w:ascii="Times New Roman" w:hAnsi="Times New Roman" w:eastAsia="仿宋_GB2312" w:cs="Times New Roman"/>
          <w:sz w:val="32"/>
          <w:szCs w:val="32"/>
          <w:lang w:val="en-US" w:eastAsia="zh-CN"/>
        </w:rPr>
        <w:t>98</w:t>
      </w:r>
      <w:r>
        <w:rPr>
          <w:rFonts w:hint="eastAsia" w:ascii="仿宋" w:hAnsi="仿宋" w:eastAsia="仿宋" w:cs="仿宋"/>
          <w:color w:val="000000"/>
          <w:kern w:val="0"/>
          <w:sz w:val="32"/>
          <w:szCs w:val="32"/>
          <w:lang w:val="en-US" w:eastAsia="zh-CN" w:bidi="ar"/>
        </w:rPr>
        <w:t>%以上。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 w:val="32"/>
          <w:szCs w:val="32"/>
        </w:rPr>
      </w:pPr>
      <w:bookmarkStart w:id="0" w:name="_GoBack"/>
      <w:bookmarkEnd w:id="0"/>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F5389"/>
    <w:multiLevelType w:val="singleLevel"/>
    <w:tmpl w:val="0E9F5389"/>
    <w:lvl w:ilvl="0" w:tentative="0">
      <w:start w:val="2"/>
      <w:numFmt w:val="chineseCounting"/>
      <w:suff w:val="nothing"/>
      <w:lvlText w:val="（%1）"/>
      <w:lvlJc w:val="left"/>
      <w:rPr>
        <w:rFonts w:hint="eastAsia"/>
      </w:rPr>
    </w:lvl>
  </w:abstractNum>
  <w:abstractNum w:abstractNumId="1">
    <w:nsid w:val="62C2C637"/>
    <w:multiLevelType w:val="singleLevel"/>
    <w:tmpl w:val="62C2C6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U4OTVkNTkyOTM0ZjM2YmNhMmJkNzU4MDA4NWQifQ=="/>
  </w:docVars>
  <w:rsids>
    <w:rsidRoot w:val="1C6445D8"/>
    <w:rsid w:val="07971371"/>
    <w:rsid w:val="08F932CB"/>
    <w:rsid w:val="0A784354"/>
    <w:rsid w:val="1316410A"/>
    <w:rsid w:val="135A439C"/>
    <w:rsid w:val="17423284"/>
    <w:rsid w:val="19C40F83"/>
    <w:rsid w:val="1C6445D8"/>
    <w:rsid w:val="1D68626E"/>
    <w:rsid w:val="21B63E20"/>
    <w:rsid w:val="25CE3D0C"/>
    <w:rsid w:val="25DA5971"/>
    <w:rsid w:val="29D75149"/>
    <w:rsid w:val="2FC2543D"/>
    <w:rsid w:val="34477EDD"/>
    <w:rsid w:val="376A2CBF"/>
    <w:rsid w:val="41D85D3B"/>
    <w:rsid w:val="420C63E0"/>
    <w:rsid w:val="434C1F6D"/>
    <w:rsid w:val="47473BDE"/>
    <w:rsid w:val="4C910E83"/>
    <w:rsid w:val="51811F9F"/>
    <w:rsid w:val="56577B66"/>
    <w:rsid w:val="5ADA6696"/>
    <w:rsid w:val="5BDB2B4D"/>
    <w:rsid w:val="5DF20F14"/>
    <w:rsid w:val="5E1C52CD"/>
    <w:rsid w:val="5FC63DDE"/>
    <w:rsid w:val="60043332"/>
    <w:rsid w:val="695D3749"/>
    <w:rsid w:val="69613F10"/>
    <w:rsid w:val="6CF91B33"/>
    <w:rsid w:val="7073453A"/>
    <w:rsid w:val="70C20053"/>
    <w:rsid w:val="78552989"/>
    <w:rsid w:val="7F534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1140</Words>
  <Characters>1334</Characters>
  <Lines>0</Lines>
  <Paragraphs>0</Paragraphs>
  <TotalTime>5</TotalTime>
  <ScaleCrop>false</ScaleCrop>
  <LinksUpToDate>false</LinksUpToDate>
  <CharactersWithSpaces>1343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Administrator</cp:lastModifiedBy>
  <cp:lastPrinted>2019-09-10T03:22:00Z</cp:lastPrinted>
  <dcterms:modified xsi:type="dcterms:W3CDTF">2023-09-14T08:08:28Z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3244B029CA334CB6A699690108DF70C3</vt:lpwstr>
  </property>
</Properties>
</file>