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张家川县信访局2022年信访工作经费</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ascii="仿宋" w:hAnsi="仿宋" w:eastAsia="仿宋" w:cs="仿宋"/>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项目绩效评价的报告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eastAsia="仿宋_GB2312"/>
          <w:sz w:val="32"/>
          <w:szCs w:val="32"/>
          <w:lang w:val="en-US" w:eastAsia="zh-CN"/>
        </w:rPr>
      </w:pPr>
      <w:r>
        <w:rPr>
          <w:rFonts w:ascii="仿宋" w:hAnsi="仿宋" w:eastAsia="仿宋" w:cs="仿宋"/>
          <w:color w:val="000000"/>
          <w:kern w:val="0"/>
          <w:sz w:val="32"/>
          <w:szCs w:val="32"/>
          <w:lang w:val="en-US" w:eastAsia="zh-CN" w:bidi="ar"/>
        </w:rPr>
        <w:t>为加强财政项目资金绩效管理，提高财政资金使用效益，根</w:t>
      </w:r>
      <w:r>
        <w:rPr>
          <w:rFonts w:hint="eastAsia" w:ascii="仿宋" w:hAnsi="仿宋" w:eastAsia="仿宋" w:cs="仿宋"/>
          <w:color w:val="000000"/>
          <w:kern w:val="0"/>
          <w:sz w:val="32"/>
          <w:szCs w:val="32"/>
          <w:lang w:val="en-US" w:eastAsia="zh-CN" w:bidi="ar"/>
        </w:rPr>
        <w:t>据相关文件规定，我局</w:t>
      </w:r>
      <w:r>
        <w:rPr>
          <w:rFonts w:hint="default" w:ascii="Times New Roman" w:hAnsi="Times New Roman" w:eastAsia="仿宋_GB2312" w:cs="Times New Roman"/>
          <w:spacing w:val="0"/>
          <w:sz w:val="32"/>
          <w:szCs w:val="32"/>
        </w:rPr>
        <w:t>成立了项目的</w:t>
      </w:r>
      <w:r>
        <w:rPr>
          <w:rFonts w:hint="default" w:ascii="Times New Roman" w:hAnsi="Times New Roman" w:eastAsia="仿宋_GB2312" w:cs="Times New Roman"/>
          <w:spacing w:val="0"/>
          <w:sz w:val="32"/>
          <w:szCs w:val="32"/>
          <w:lang w:eastAsia="zh-CN"/>
        </w:rPr>
        <w:t>绩效自评</w:t>
      </w:r>
      <w:r>
        <w:rPr>
          <w:rFonts w:hint="default" w:ascii="Times New Roman" w:hAnsi="Times New Roman" w:eastAsia="仿宋_GB2312" w:cs="Times New Roman"/>
          <w:spacing w:val="0"/>
          <w:sz w:val="32"/>
          <w:szCs w:val="32"/>
        </w:rPr>
        <w:t>工作</w:t>
      </w:r>
      <w:r>
        <w:rPr>
          <w:rFonts w:hint="default" w:ascii="Times New Roman" w:hAnsi="Times New Roman" w:eastAsia="仿宋_GB2312" w:cs="Times New Roman"/>
          <w:spacing w:val="0"/>
          <w:sz w:val="32"/>
          <w:szCs w:val="32"/>
          <w:lang w:eastAsia="zh-CN"/>
        </w:rPr>
        <w:t>领导小组</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对我局2022年信访工作经费项目绩效进行了自评，情况如下：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一、项目基本情</w:t>
      </w:r>
      <w:bookmarkStart w:id="0" w:name="_GoBack"/>
      <w:bookmarkEnd w:id="0"/>
      <w:r>
        <w:rPr>
          <w:rFonts w:hint="eastAsia" w:ascii="黑体" w:hAnsi="宋体" w:eastAsia="黑体" w:cs="黑体"/>
          <w:color w:val="000000"/>
          <w:kern w:val="0"/>
          <w:sz w:val="32"/>
          <w:szCs w:val="32"/>
          <w:lang w:val="en-US" w:eastAsia="zh-CN" w:bidi="ar"/>
        </w:rPr>
        <w:t xml:space="preserve">况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ascii="楷体" w:hAnsi="楷体" w:eastAsia="楷体" w:cs="楷体"/>
          <w:b/>
          <w:color w:val="000000"/>
          <w:kern w:val="0"/>
          <w:sz w:val="32"/>
          <w:szCs w:val="32"/>
          <w:lang w:val="en-US" w:eastAsia="zh-CN" w:bidi="ar"/>
        </w:rPr>
        <w:t>（一）项目背景。</w:t>
      </w:r>
      <w:r>
        <w:rPr>
          <w:rFonts w:hint="eastAsia" w:ascii="仿宋" w:hAnsi="仿宋" w:eastAsia="仿宋" w:cs="仿宋"/>
          <w:color w:val="000000"/>
          <w:kern w:val="0"/>
          <w:sz w:val="32"/>
          <w:szCs w:val="32"/>
          <w:lang w:val="en-US" w:eastAsia="zh-CN" w:bidi="ar"/>
        </w:rPr>
        <w:t>申请信访工作专项经费的政策文件依据：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一、《信访工作条例》</w:t>
      </w:r>
      <w:r>
        <w:rPr>
          <w:rFonts w:hint="eastAsia" w:ascii="仿宋_GB2312" w:hAnsi="仿宋_GB2312" w:eastAsia="仿宋_GB2312" w:cs="仿宋_GB2312"/>
          <w:sz w:val="32"/>
          <w:szCs w:val="40"/>
          <w:lang w:eastAsia="zh-CN"/>
        </w:rPr>
        <w:t>第十</w:t>
      </w:r>
      <w:r>
        <w:rPr>
          <w:rFonts w:hint="eastAsia" w:ascii="仿宋_GB2312" w:hAnsi="仿宋_GB2312" w:eastAsia="仿宋_GB2312" w:cs="仿宋_GB2312"/>
          <w:sz w:val="32"/>
          <w:szCs w:val="40"/>
          <w:lang w:val="en-US" w:eastAsia="zh-CN"/>
        </w:rPr>
        <w:t>六</w:t>
      </w:r>
      <w:r>
        <w:rPr>
          <w:rFonts w:hint="eastAsia" w:ascii="仿宋_GB2312" w:hAnsi="仿宋_GB2312" w:eastAsia="仿宋_GB2312" w:cs="仿宋_GB2312"/>
          <w:sz w:val="32"/>
          <w:szCs w:val="40"/>
          <w:lang w:eastAsia="zh-CN"/>
        </w:rPr>
        <w:t>条规定：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室</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副主任〕兼任。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各级党校</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行政学院</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应当将信访工作作为党性教育内容纳入教学培训，加强干部教育培训。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各级机关、单位应当建立健全年轻干部和新录用干部到信访工作岗位锻炼制度。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_GB2312" w:hAnsi="仿宋_GB2312" w:eastAsia="仿宋_GB2312" w:cs="仿宋_GB2312"/>
          <w:sz w:val="32"/>
          <w:szCs w:val="40"/>
          <w:lang w:eastAsia="zh-CN"/>
        </w:rPr>
        <w:t>各级党委和政府应当为信访工作提供必要的支持和保障，所需经费列入本级预算。</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项目目标。</w:t>
      </w:r>
      <w:r>
        <w:rPr>
          <w:rFonts w:hint="eastAsia" w:ascii="仿宋_GB2312" w:hAnsi="仿宋_GB2312" w:eastAsia="仿宋_GB2312" w:cs="仿宋_GB2312"/>
          <w:sz w:val="32"/>
          <w:szCs w:val="32"/>
          <w:lang w:val="en-US" w:eastAsia="zh-CN"/>
        </w:rPr>
        <w:t>信访工作是党的群众工作的重要组成部分，是党和政府了解民情、集中民智、维护民利、凝聚民心的一项重要工作，做好我县信访维稳工作，有效化解矛盾纠纷，</w:t>
      </w:r>
      <w:r>
        <w:rPr>
          <w:rFonts w:hint="eastAsia" w:ascii="仿宋_GB2312" w:eastAsia="仿宋_GB2312"/>
          <w:sz w:val="32"/>
          <w:szCs w:val="32"/>
        </w:rPr>
        <w:t>促进社会和谐，维护社会稳定。</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color w:val="000000"/>
          <w:kern w:val="0"/>
          <w:sz w:val="32"/>
          <w:szCs w:val="32"/>
          <w:lang w:val="en-US" w:eastAsia="zh-CN" w:bidi="ar"/>
        </w:rPr>
        <w:t>主要内容及预算支出情况。</w:t>
      </w:r>
      <w:r>
        <w:rPr>
          <w:rFonts w:hint="eastAsia" w:ascii="仿宋_GB2312" w:hAnsi="仿宋_GB2312" w:eastAsia="仿宋_GB2312" w:cs="仿宋_GB2312"/>
          <w:sz w:val="32"/>
          <w:szCs w:val="32"/>
          <w:lang w:val="en-US" w:eastAsia="zh-CN"/>
        </w:rPr>
        <w:t>资金使用范围为：驻京、省、市信访保障工作，到镇级部门督查督办信访事项的各项支出、与信访工作相关的日常办公支出。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预算支出情况：</w:t>
      </w:r>
      <w:r>
        <w:rPr>
          <w:rFonts w:hint="eastAsia" w:ascii="仿宋_GB2312" w:eastAsia="仿宋_GB2312"/>
          <w:sz w:val="32"/>
          <w:szCs w:val="32"/>
          <w:lang w:val="en-US" w:eastAsia="zh-CN"/>
        </w:rPr>
        <w:t>2022年度预算15万元，实际支出15万元，结余资金0万元，全部</w:t>
      </w:r>
      <w:r>
        <w:rPr>
          <w:rFonts w:hint="eastAsia" w:ascii="仿宋_GB2312" w:eastAsia="仿宋_GB2312"/>
          <w:sz w:val="32"/>
          <w:szCs w:val="32"/>
        </w:rPr>
        <w:t>用于信访工作中的</w:t>
      </w:r>
      <w:r>
        <w:rPr>
          <w:rFonts w:hint="eastAsia" w:ascii="仿宋_GB2312" w:eastAsia="仿宋_GB2312"/>
          <w:sz w:val="32"/>
          <w:szCs w:val="32"/>
          <w:lang w:val="en-US" w:eastAsia="zh-CN"/>
        </w:rPr>
        <w:t>相关支出</w:t>
      </w:r>
      <w:r>
        <w:rPr>
          <w:rFonts w:hint="eastAsia" w:ascii="仿宋_GB2312" w:eastAsia="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二、绩效评价工作情况及评价结论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 xml:space="preserve">本次绩效评价对象为信访工作经费，从项目立项依据、目标、组织实施、预算需求、执行效果等方面入手，对项目的实施情况和实施效果进行全面的分析和评价。通过开展绩效评价工作，对项目管理、完成情况进行全面了解，对县财政资金的执行情况和实施效果进行分析评价，总结经验及存在的问题，为县财政资金的安排提供决策依据。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（二）评价指标体系。</w:t>
      </w:r>
      <w:r>
        <w:rPr>
          <w:rFonts w:hint="eastAsia" w:ascii="仿宋" w:hAnsi="仿宋" w:eastAsia="仿宋" w:cs="仿宋"/>
          <w:color w:val="000000"/>
          <w:kern w:val="0"/>
          <w:sz w:val="32"/>
          <w:szCs w:val="32"/>
          <w:lang w:val="en-US" w:eastAsia="zh-CN" w:bidi="ar"/>
        </w:rPr>
        <w:t>主要包括决策、管理、产出、效果四个方面，满分为100分。</w:t>
      </w:r>
      <w:r>
        <w:rPr>
          <w:rFonts w:hint="eastAsia" w:ascii="仿宋" w:hAnsi="仿宋" w:eastAsia="仿宋" w:cs="仿宋"/>
          <w:b/>
          <w:color w:val="000000"/>
          <w:kern w:val="0"/>
          <w:sz w:val="32"/>
          <w:szCs w:val="32"/>
          <w:lang w:val="en-US" w:eastAsia="zh-CN" w:bidi="ar"/>
        </w:rPr>
        <w:t>一是产出（50分）。</w:t>
      </w:r>
      <w:r>
        <w:rPr>
          <w:rFonts w:hint="eastAsia" w:ascii="仿宋" w:hAnsi="仿宋" w:eastAsia="仿宋" w:cs="仿宋"/>
          <w:color w:val="000000"/>
          <w:kern w:val="0"/>
          <w:sz w:val="32"/>
          <w:szCs w:val="32"/>
          <w:lang w:val="en-US" w:eastAsia="zh-CN" w:bidi="ar"/>
        </w:rPr>
        <w:t xml:space="preserve">主要评价信访事项的接办、交办及时率、处理办结率等。 </w:t>
      </w:r>
      <w:r>
        <w:rPr>
          <w:rFonts w:hint="eastAsia" w:ascii="仿宋" w:hAnsi="仿宋" w:eastAsia="仿宋" w:cs="仿宋"/>
          <w:b/>
          <w:color w:val="000000"/>
          <w:kern w:val="0"/>
          <w:sz w:val="32"/>
          <w:szCs w:val="32"/>
          <w:lang w:val="en-US" w:eastAsia="zh-CN" w:bidi="ar"/>
        </w:rPr>
        <w:t>二是效益（30分）。</w:t>
      </w:r>
      <w:r>
        <w:rPr>
          <w:rFonts w:hint="eastAsia" w:ascii="仿宋" w:hAnsi="仿宋" w:eastAsia="仿宋" w:cs="仿宋"/>
          <w:color w:val="000000"/>
          <w:kern w:val="0"/>
          <w:sz w:val="32"/>
          <w:szCs w:val="32"/>
          <w:lang w:val="en-US" w:eastAsia="zh-CN" w:bidi="ar"/>
        </w:rPr>
        <w:t>主要评价加强信访疑难问题治理，营造和谐稳定的社会环境的效果等。</w:t>
      </w:r>
      <w:r>
        <w:rPr>
          <w:rFonts w:hint="eastAsia" w:ascii="仿宋" w:hAnsi="仿宋" w:eastAsia="仿宋" w:cs="仿宋"/>
          <w:b/>
          <w:color w:val="000000"/>
          <w:kern w:val="0"/>
          <w:sz w:val="32"/>
          <w:szCs w:val="32"/>
          <w:lang w:val="en-US" w:eastAsia="zh-CN" w:bidi="ar"/>
        </w:rPr>
        <w:t>三是满意度（10分）。</w:t>
      </w:r>
      <w:r>
        <w:rPr>
          <w:rFonts w:hint="eastAsia" w:ascii="仿宋" w:hAnsi="仿宋" w:eastAsia="仿宋" w:cs="仿宋"/>
          <w:color w:val="000000"/>
          <w:kern w:val="0"/>
          <w:sz w:val="32"/>
          <w:szCs w:val="32"/>
          <w:lang w:val="en-US" w:eastAsia="zh-CN" w:bidi="ar"/>
        </w:rPr>
        <w:t>主要评价年度群众满意度。</w:t>
      </w:r>
      <w:r>
        <w:rPr>
          <w:rFonts w:hint="eastAsia" w:ascii="仿宋" w:hAnsi="仿宋" w:eastAsia="仿宋" w:cs="仿宋"/>
          <w:b/>
          <w:color w:val="000000"/>
          <w:kern w:val="0"/>
          <w:sz w:val="32"/>
          <w:szCs w:val="32"/>
          <w:lang w:val="en-US" w:eastAsia="zh-CN" w:bidi="ar"/>
        </w:rPr>
        <w:t>四是执行率（10分）</w:t>
      </w:r>
      <w:r>
        <w:rPr>
          <w:rFonts w:hint="eastAsia" w:ascii="仿宋" w:hAnsi="仿宋" w:eastAsia="仿宋" w:cs="仿宋"/>
          <w:b w:val="0"/>
          <w:bCs/>
          <w:color w:val="000000"/>
          <w:kern w:val="0"/>
          <w:sz w:val="32"/>
          <w:szCs w:val="32"/>
          <w:lang w:val="en-US" w:eastAsia="zh-CN" w:bidi="ar"/>
        </w:rPr>
        <w:t>主要评价资金支付及时率等</w:t>
      </w:r>
      <w:r>
        <w:rPr>
          <w:rFonts w:hint="eastAsia" w:ascii="仿宋" w:hAnsi="仿宋" w:eastAsia="仿宋" w:cs="仿宋"/>
          <w:b/>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sz w:val="32"/>
          <w:szCs w:val="32"/>
        </w:rPr>
      </w:pPr>
      <w:r>
        <w:rPr>
          <w:rFonts w:hint="eastAsia" w:ascii="楷体" w:hAnsi="楷体" w:eastAsia="楷体" w:cs="楷体"/>
          <w:b/>
          <w:color w:val="000000"/>
          <w:kern w:val="0"/>
          <w:sz w:val="32"/>
          <w:szCs w:val="32"/>
          <w:lang w:val="en-US" w:eastAsia="zh-CN" w:bidi="ar"/>
        </w:rPr>
        <w:t>（三）评价结论。</w:t>
      </w:r>
      <w:r>
        <w:rPr>
          <w:rFonts w:hint="eastAsia" w:ascii="仿宋" w:hAnsi="仿宋" w:eastAsia="仿宋" w:cs="仿宋"/>
          <w:color w:val="000000"/>
          <w:kern w:val="0"/>
          <w:sz w:val="32"/>
          <w:szCs w:val="32"/>
          <w:lang w:val="en-US" w:eastAsia="zh-CN" w:bidi="ar"/>
        </w:rPr>
        <w:t>该项目绩效评价得分为</w:t>
      </w:r>
      <w:r>
        <w:rPr>
          <w:rFonts w:hint="eastAsia" w:ascii="宋体" w:hAnsi="宋体" w:eastAsia="宋体" w:cs="宋体"/>
          <w:color w:val="000000"/>
          <w:kern w:val="0"/>
          <w:sz w:val="32"/>
          <w:szCs w:val="32"/>
          <w:lang w:val="en-US" w:eastAsia="zh-CN" w:bidi="ar"/>
        </w:rPr>
        <w:t>98</w:t>
      </w:r>
      <w:r>
        <w:rPr>
          <w:rFonts w:hint="eastAsia" w:ascii="仿宋" w:hAnsi="仿宋" w:eastAsia="仿宋" w:cs="仿宋"/>
          <w:color w:val="000000"/>
          <w:kern w:val="0"/>
          <w:sz w:val="32"/>
          <w:szCs w:val="32"/>
          <w:lang w:val="en-US" w:eastAsia="zh-CN" w:bidi="ar"/>
        </w:rPr>
        <w:t>分，综合评价等级为“优”。评价认为，</w:t>
      </w:r>
      <w:r>
        <w:rPr>
          <w:rFonts w:hint="default" w:ascii="Times New Roman" w:hAnsi="Times New Roman" w:eastAsia="仿宋_GB2312" w:cs="Times New Roman"/>
          <w:sz w:val="32"/>
          <w:szCs w:val="32"/>
        </w:rPr>
        <w:t>专项资金管理规范、运作较得当，项目手续完备、合法合规，项目目标明确，项目决策有理有据，项目资金到位及时、运用得当，相关财务管理制度和项目管理制度健全有效，并严格按照相关要求实施。项目实施时间为1年，</w:t>
      </w:r>
      <w:r>
        <w:rPr>
          <w:rFonts w:hint="default" w:ascii="Times New Roman" w:hAnsi="Times New Roman" w:eastAsia="仿宋_GB2312" w:cs="Times New Roman"/>
          <w:sz w:val="32"/>
          <w:szCs w:val="32"/>
          <w:lang w:eastAsia="zh-CN"/>
        </w:rPr>
        <w:t>均按期完成</w:t>
      </w:r>
      <w:r>
        <w:rPr>
          <w:rFonts w:hint="default" w:ascii="Times New Roman" w:hAnsi="Times New Roman" w:eastAsia="仿宋_GB2312" w:cs="Times New Roman"/>
          <w:sz w:val="32"/>
          <w:szCs w:val="32"/>
        </w:rPr>
        <w:t>实施，项目效益达到预期目标，项目实施</w:t>
      </w:r>
      <w:r>
        <w:rPr>
          <w:rFonts w:hint="default" w:ascii="Times New Roman" w:hAnsi="Times New Roman" w:eastAsia="仿宋_GB2312" w:cs="Times New Roman"/>
          <w:sz w:val="32"/>
          <w:szCs w:val="32"/>
          <w:lang w:eastAsia="zh-CN"/>
        </w:rPr>
        <w:t>对象</w:t>
      </w:r>
      <w:r>
        <w:rPr>
          <w:rFonts w:hint="default" w:ascii="Times New Roman" w:hAnsi="Times New Roman" w:eastAsia="仿宋_GB2312" w:cs="Times New Roman"/>
          <w:sz w:val="32"/>
          <w:szCs w:val="32"/>
        </w:rPr>
        <w:t>对项目</w:t>
      </w:r>
      <w:r>
        <w:rPr>
          <w:rFonts w:hint="default" w:ascii="Times New Roman" w:hAnsi="Times New Roman" w:eastAsia="仿宋_GB2312" w:cs="Times New Roman"/>
          <w:sz w:val="32"/>
          <w:szCs w:val="32"/>
          <w:lang w:eastAsia="zh-CN"/>
        </w:rPr>
        <w:t>实施过程表示</w:t>
      </w:r>
      <w:r>
        <w:rPr>
          <w:rFonts w:hint="default" w:ascii="Times New Roman" w:hAnsi="Times New Roman" w:eastAsia="仿宋_GB2312" w:cs="Times New Roman"/>
          <w:sz w:val="32"/>
          <w:szCs w:val="32"/>
        </w:rPr>
        <w:t>满意。</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三、发现的主要问题及原因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一是项目绩效指标设置规范性有待加强。二是项目组织管理健全性、制度建设及执行有效性、资金管理及使用等方面还需进一步细化。三是监督考核机制和措施有待进一步加强。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lang w:eastAsia="zh-CN"/>
        </w:rPr>
      </w:pPr>
      <w:r>
        <w:rPr>
          <w:rFonts w:hint="eastAsia" w:ascii="黑体" w:hAnsi="宋体" w:eastAsia="黑体" w:cs="黑体"/>
          <w:color w:val="000000"/>
          <w:kern w:val="0"/>
          <w:sz w:val="32"/>
          <w:szCs w:val="32"/>
          <w:lang w:val="en-US" w:eastAsia="zh-CN" w:bidi="ar"/>
        </w:rPr>
        <w:t xml:space="preserve">四、相关建议 </w:t>
      </w:r>
    </w:p>
    <w:p>
      <w:pPr>
        <w:ind w:firstLine="640" w:firstLineChars="200"/>
      </w:pPr>
      <w:r>
        <w:rPr>
          <w:rFonts w:hint="default" w:ascii="Times New Roman" w:hAnsi="Times New Roman" w:eastAsia="仿宋_GB2312" w:cs="Times New Roman"/>
          <w:kern w:val="2"/>
          <w:sz w:val="32"/>
          <w:szCs w:val="32"/>
          <w:lang w:val="en-US" w:eastAsia="zh-CN" w:bidi="ar-SA"/>
        </w:rPr>
        <w:t>下一步，我们将根据实际情况，不断完善预算管理和专项资金管理制度。积极推进预算绩效管理，以制度建设、目标管理、绩效监控、信息公开等工作为着力点，抓好绩效目标源头管理、强化绩效运行监控管理、完善绩效评价管理机制，将绩效管理融入预算编制、执行、监督全过程，探索构建部门整体全闭环绩效管理机制。</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-236855</wp:posOffset>
              </wp:positionV>
              <wp:extent cx="1828800" cy="473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7F634"/>
    <w:multiLevelType w:val="singleLevel"/>
    <w:tmpl w:val="00D7F6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YTkxNzUyMTY0ZWQ0NWYxYzEzZGY3M2FmZWJlMjcifQ=="/>
  </w:docVars>
  <w:rsids>
    <w:rsidRoot w:val="1C6445D8"/>
    <w:rsid w:val="07971371"/>
    <w:rsid w:val="08F932CB"/>
    <w:rsid w:val="135A439C"/>
    <w:rsid w:val="19C40F83"/>
    <w:rsid w:val="1C6445D8"/>
    <w:rsid w:val="29D75149"/>
    <w:rsid w:val="2F027BB8"/>
    <w:rsid w:val="31952658"/>
    <w:rsid w:val="31C67F11"/>
    <w:rsid w:val="34F67643"/>
    <w:rsid w:val="37FE0926"/>
    <w:rsid w:val="51811F9F"/>
    <w:rsid w:val="52EF32C8"/>
    <w:rsid w:val="5B667253"/>
    <w:rsid w:val="5DF20F14"/>
    <w:rsid w:val="6B580C7E"/>
    <w:rsid w:val="70C20053"/>
    <w:rsid w:val="71E675E1"/>
    <w:rsid w:val="78552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1950</Words>
  <Characters>1990</Characters>
  <Lines>0</Lines>
  <Paragraphs>0</Paragraphs>
  <TotalTime>2</TotalTime>
  <ScaleCrop>false</ScaleCrop>
  <LinksUpToDate>false</LinksUpToDate>
  <CharactersWithSpaces>2008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依然</cp:lastModifiedBy>
  <cp:lastPrinted>2019-09-10T03:22:00Z</cp:lastPrinted>
  <dcterms:modified xsi:type="dcterms:W3CDTF">2023-09-14T06:45:54Z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F9A16AE4B7CF4F948D24C9A3195AA035</vt:lpwstr>
  </property>
</Properties>
</file>