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r>
        <w:rPr>
          <w:rFonts w:ascii="黑体" w:hAnsi="宋体" w:eastAsia="黑体" w:cs="黑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</w:rPr>
        <w:t>：</w:t>
      </w:r>
    </w:p>
    <w:p>
      <w:pPr>
        <w:widowControl/>
        <w:ind w:firstLine="1080" w:firstLineChars="300"/>
        <w:jc w:val="left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张家川县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水务局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项目绩效评价报告</w:t>
      </w:r>
      <w:r>
        <w:rPr>
          <w:rFonts w:ascii="微软雅黑" w:hAnsi="微软雅黑" w:eastAsia="微软雅黑" w:cs="微软雅黑"/>
          <w:color w:val="000000"/>
          <w:kern w:val="0"/>
          <w:sz w:val="36"/>
          <w:szCs w:val="36"/>
        </w:rPr>
        <w:t xml:space="preserve"> </w:t>
      </w:r>
    </w:p>
    <w:p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</w:rPr>
      </w:pPr>
    </w:p>
    <w:p>
      <w:pPr>
        <w:widowControl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</w:rPr>
        <w:t>为加强财政项目资金绩效管理，提高财政资金使用效益，根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据《中华人民共和国预算法》《中共中央 国务院关于全面实施预算绩效管理的意见》和《关于人大预算审查监督重点向支出预算和政策拓展的指导意见》等相关文件规定，财政局组织，对20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年防汛抗旱项目开展绩效自评工作，现将有关情况报告如下： </w:t>
      </w:r>
    </w:p>
    <w:p>
      <w:pPr>
        <w:shd w:val="clear" w:color="auto" w:fill="FFFFFF"/>
        <w:snapToGrid w:val="0"/>
        <w:spacing w:line="576" w:lineRule="exact"/>
        <w:ind w:firstLine="643" w:firstLineChars="200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一、项目基本概况</w:t>
      </w:r>
    </w:p>
    <w:p>
      <w:pPr>
        <w:shd w:val="clear" w:color="auto" w:fill="FFFFFF"/>
        <w:snapToGrid w:val="0"/>
        <w:spacing w:line="576" w:lineRule="exact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（一）、项目单位基本情况</w:t>
      </w:r>
    </w:p>
    <w:p>
      <w:pPr>
        <w:widowControl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张家川县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水旱灾害防御股隶属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张家川县水务局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内设股室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，贯彻执行国家、省市相关法律法规的执行，承担本县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水旱灾害防御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工作，负责防治水旱灾害。</w:t>
      </w:r>
    </w:p>
    <w:p>
      <w:pPr>
        <w:widowControl/>
        <w:numPr>
          <w:ilvl w:val="0"/>
          <w:numId w:val="1"/>
        </w:num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、项目年度预算绩效目标</w:t>
      </w:r>
    </w:p>
    <w:p>
      <w:pPr>
        <w:shd w:val="clear" w:color="auto" w:fill="FFFFFF"/>
        <w:snapToGrid w:val="0"/>
        <w:spacing w:line="576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日常办公、山洪灾害监测预警、水库防洪调度、防汛抗旱物资储备、相关预案修定、群测群防体系完善、旱情监测、相关预案修定、防汛抗旱设备维护。</w:t>
      </w:r>
    </w:p>
    <w:p>
      <w:pPr>
        <w:shd w:val="clear" w:color="auto" w:fill="FFFFFF"/>
        <w:snapToGrid w:val="0"/>
        <w:spacing w:line="576" w:lineRule="exac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二、项目资金使用及管理情况</w:t>
      </w:r>
    </w:p>
    <w:p>
      <w:pPr>
        <w:shd w:val="clear" w:color="auto" w:fill="FFFFFF"/>
        <w:snapToGrid w:val="0"/>
        <w:spacing w:line="576" w:lineRule="exact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1、项目资金安排落实情况</w:t>
      </w:r>
    </w:p>
    <w:p>
      <w:pPr>
        <w:shd w:val="clear" w:color="auto" w:fill="FFFFFF"/>
        <w:snapToGrid w:val="0"/>
        <w:spacing w:line="576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根据年度财政预算安排防汛抗旱经费20万元，实际到位资金20万元，资金下拨到水务局账户。</w:t>
      </w:r>
    </w:p>
    <w:p>
      <w:pPr>
        <w:shd w:val="clear" w:color="auto" w:fill="FFFFFF"/>
        <w:snapToGrid w:val="0"/>
        <w:spacing w:line="576" w:lineRule="exact"/>
        <w:ind w:firstLine="463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2、项目资金（主要是指财政资金）实际使用情况</w:t>
      </w:r>
    </w:p>
    <w:p>
      <w:pPr>
        <w:shd w:val="clear" w:color="auto" w:fill="FFFFFF"/>
        <w:snapToGrid w:val="0"/>
        <w:spacing w:line="576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截止20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，共计支出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200000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剩余0元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>
      <w:pPr>
        <w:shd w:val="clear" w:color="auto" w:fill="FFFFFF"/>
        <w:snapToGrid w:val="0"/>
        <w:spacing w:line="576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3.项目资金管理情况</w:t>
      </w:r>
    </w:p>
    <w:p>
      <w:pPr>
        <w:shd w:val="clear" w:color="auto" w:fill="FFFFFF"/>
        <w:snapToGrid w:val="0"/>
        <w:spacing w:line="576" w:lineRule="exact"/>
        <w:ind w:firstLine="200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项目资金的管理情况较好，制定了《水务局财务管理办法》、《水务局预算管理办法》等管理规定，并严格执行；按时间和项目实施进程分次、分批拨付；项目资金的使用、监管，通过局会计财务代管进行，保证足额、规范地使用。</w:t>
      </w:r>
    </w:p>
    <w:p>
      <w:pPr>
        <w:shd w:val="clear" w:color="auto" w:fill="FFFFFF"/>
        <w:snapToGrid w:val="0"/>
        <w:spacing w:line="576" w:lineRule="exac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三、项目组织、管理情况</w:t>
      </w:r>
    </w:p>
    <w:p>
      <w:pPr>
        <w:shd w:val="clear" w:color="auto" w:fill="FFFFFF"/>
        <w:snapToGrid w:val="0"/>
        <w:spacing w:line="576" w:lineRule="exac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项目实施年初由县防汛抗旱指挥部办公室制定项目及资金计划，由水务局监督、完成项目的验收。</w:t>
      </w:r>
    </w:p>
    <w:p>
      <w:pPr>
        <w:shd w:val="clear" w:color="auto" w:fill="FFFFFF"/>
        <w:snapToGrid w:val="0"/>
        <w:spacing w:line="576" w:lineRule="exact"/>
        <w:ind w:firstLine="643" w:firstLineChars="200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四、综合评价情况及评价结论</w:t>
      </w:r>
    </w:p>
    <w:p>
      <w:pPr>
        <w:shd w:val="clear" w:color="auto" w:fill="FFFFFF"/>
        <w:snapToGrid w:val="0"/>
        <w:spacing w:line="576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水务局成立由局主要负责人、分管领导、分管财务领导、局会计、防办主任等工作的负责人及具体经办人组成单位评价组 ，采用单位绩效自评的评价方式，对项目绩效目标及实施计划完成情况进行了综合评价，基本达到预期目标，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保证安全度汛；遇中等程度干旱，生活、生产、生态用水不受大的影响，发生严重干旱时，生活用水有保障，工农业生产损失降到最低。综合评价指标量化考评9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分，达到优秀水平。</w:t>
      </w:r>
      <w:bookmarkStart w:id="0" w:name="_GoBack"/>
      <w:bookmarkEnd w:id="0"/>
    </w:p>
    <w:p>
      <w:pPr>
        <w:shd w:val="clear" w:color="auto" w:fill="FFFFFF"/>
        <w:adjustRightInd w:val="0"/>
        <w:snapToGrid w:val="0"/>
        <w:spacing w:line="576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五、项目主要绩效情况分析</w:t>
      </w:r>
    </w:p>
    <w:p>
      <w:pPr>
        <w:shd w:val="clear" w:color="auto" w:fill="FFFFFF"/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项目的经济性分析，项目确定由财政预算安排，水务局本着节约的原则，通过预算进行控制，情况较好，保证项目具体实施。</w:t>
      </w:r>
    </w:p>
    <w:p>
      <w:pPr>
        <w:shd w:val="clear" w:color="auto" w:fill="FFFFFF"/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项目的效率性分析，防办主要是通过制定项目实施计划，按时间及项目实施进度申请资金支付；水务局进行日常的监督、检查、验收，确保项目实施按时、按质量要求完成，并及时支付资金。</w:t>
      </w:r>
    </w:p>
    <w:p>
      <w:pPr>
        <w:shd w:val="clear" w:color="auto" w:fill="FFFFFF"/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项目的有效性分析，项目实施完成，基本上能保证项目预期目标，保证防汛安全。</w:t>
      </w:r>
    </w:p>
    <w:p>
      <w:pPr>
        <w:shd w:val="clear" w:color="auto" w:fill="FFFFFF"/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项目的可持续性分析，本项目属于年度常规性项目，随着时间推移，设备老化，天气异常变化，自然环境影响对项目实施要求越来越高，项目实施成本越来越大，项目资金量越来越多，管理措施要求越来越高。</w:t>
      </w:r>
    </w:p>
    <w:p>
      <w:pPr>
        <w:shd w:val="clear" w:color="auto" w:fill="FFFFFF"/>
        <w:snapToGrid w:val="0"/>
        <w:spacing w:line="576" w:lineRule="exac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六、主要经验及做法、存在问题和建议</w:t>
      </w:r>
    </w:p>
    <w:p>
      <w:pPr>
        <w:shd w:val="clear" w:color="auto" w:fill="FFFFFF"/>
        <w:snapToGrid w:val="0"/>
        <w:spacing w:line="576" w:lineRule="exact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主要做法是根据财政预算及防汛、备汛的实际需要来确定具体的实施项目和标准，具体分管部门负责项目计划的监督、检查、验收，财务部门负责项目资金按计划、进度的申报、拨付、监管。</w:t>
      </w:r>
    </w:p>
    <w:p>
      <w:pPr>
        <w:widowControl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存在的问题主要是项目资金预算总体规模太小，无法达到部门标准的要求。我们将积极争取财政的支持，进一步加强和完善项目管理，努力控制成本，确保项目的正常实施和预期目标的完成。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0597C"/>
    <w:multiLevelType w:val="singleLevel"/>
    <w:tmpl w:val="94B059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RmMjgzMjc1NDg0ZGU3NzE3MGQyNTc4MjkyNTZlMTkifQ=="/>
  </w:docVars>
  <w:rsids>
    <w:rsidRoot w:val="00000000"/>
    <w:rsid w:val="083723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1255</Words>
  <Characters>73</Characters>
  <Lines>1</Lines>
  <Paragraphs>2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2019-09-10T02:13:00Z</dcterms:created>
  <dc:creator>财政局张锦宇</dc:creator>
  <cp:lastModifiedBy>海亚洲</cp:lastModifiedBy>
  <cp:lastPrinted>2019-09-10T03:22:00Z</cp:lastPrinted>
  <dcterms:modified xsi:type="dcterms:W3CDTF">2023-09-14T11:43:56Z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3AABC738BFB245ACA03193B4A6C7F1F4_12</vt:lpwstr>
  </property>
</Properties>
</file>