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D3F4" w14:textId="77777777" w:rsidR="00094AA5" w:rsidRDefault="0000000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lang w:bidi="ar"/>
        </w:rPr>
        <w:t>中共张家川回族自治县委员会宣传部</w:t>
      </w:r>
    </w:p>
    <w:p w14:paraId="08380F3C" w14:textId="77777777" w:rsidR="00094AA5" w:rsidRDefault="00000000">
      <w:pPr>
        <w:spacing w:line="576" w:lineRule="exact"/>
        <w:jc w:val="center"/>
        <w:rPr>
          <w:sz w:val="22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lang w:bidi="ar"/>
        </w:rPr>
        <w:t>关于宣传工作经费项目绩效评价的报告</w:t>
      </w:r>
    </w:p>
    <w:p w14:paraId="69AD313C" w14:textId="77777777" w:rsidR="00094AA5" w:rsidRDefault="00094AA5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3446ACBB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一、项目基本情况</w:t>
      </w:r>
    </w:p>
    <w:p w14:paraId="165D44EC" w14:textId="1984A842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为深入学习贯彻</w:t>
      </w:r>
      <w:r w:rsidR="00C877CF">
        <w:rPr>
          <w:rFonts w:hint="eastAsia"/>
          <w:color w:val="333333"/>
          <w:sz w:val="28"/>
          <w:szCs w:val="28"/>
          <w:shd w:val="clear" w:color="auto" w:fill="FFFFFF"/>
        </w:rPr>
        <w:t>习近平新时代中国特色社会主义思想</w:t>
      </w:r>
      <w:r w:rsidR="00C877CF">
        <w:rPr>
          <w:rFonts w:hint="eastAsia"/>
          <w:color w:val="333333"/>
          <w:sz w:val="28"/>
          <w:szCs w:val="28"/>
          <w:shd w:val="clear" w:color="auto" w:fill="FFFFFF"/>
        </w:rPr>
        <w:t>和</w:t>
      </w:r>
      <w:r>
        <w:rPr>
          <w:rFonts w:hint="eastAsia"/>
          <w:color w:val="333333"/>
          <w:sz w:val="28"/>
          <w:szCs w:val="28"/>
          <w:shd w:val="clear" w:color="auto" w:fill="FFFFFF"/>
        </w:rPr>
        <w:t>党的十九大精神，落实好宣传思想工作的各项任务，通过日常宣传和开展系列活动等方式，为张家川县科学发展和谐发展跨越发展提供有力的思想保证、精神动力、舆论支持和文化条件。</w:t>
      </w:r>
    </w:p>
    <w:p w14:paraId="1329D40D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二、项目绩效自评工作开展情况</w:t>
      </w:r>
    </w:p>
    <w:p w14:paraId="46B8A0AF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（一）绩效评价目的、对象和范围。</w:t>
      </w:r>
    </w:p>
    <w:p w14:paraId="33F928A0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本次绩效评价的目的是为了规范项目资金使用，体现项目资金使用成果和效益，对象是宣传部2020宣传工作经费项目，范围为项目实施全部过程。</w:t>
      </w:r>
    </w:p>
    <w:p w14:paraId="78984DCD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（二）绩效评价工作过程。</w:t>
      </w:r>
    </w:p>
    <w:p w14:paraId="05ED9CD9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财务分管领导召集财务人员、项目实施管理人员拟订绩效评价方案，确定绩效评价目标、方法与评价指标体系后，由相关人员开展绩效评价工作。</w:t>
      </w:r>
    </w:p>
    <w:p w14:paraId="07A6EF8D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三、项目绩效实现情况</w:t>
      </w:r>
    </w:p>
    <w:p w14:paraId="2A40A8F9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60" w:lineRule="atLeas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1．项目资金到位情况。</w:t>
      </w:r>
    </w:p>
    <w:p w14:paraId="0D9F2D81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“宣传工作经费”，2020年县级财政预算安排本级资金14万元，实</w:t>
      </w:r>
      <w:r>
        <w:rPr>
          <w:rFonts w:hint="eastAsia"/>
          <w:color w:val="333333"/>
          <w:sz w:val="28"/>
          <w:szCs w:val="28"/>
          <w:shd w:val="clear" w:color="auto" w:fill="FFFFFF"/>
        </w:rPr>
        <w:lastRenderedPageBreak/>
        <w:t>际到位资金14万元，资金到位率100%。</w:t>
      </w:r>
    </w:p>
    <w:p w14:paraId="2EA1678F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2.专项组织实施情况。</w:t>
      </w:r>
    </w:p>
    <w:p w14:paraId="010EAD8C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该项工作经费从2020年初计划实施，并于2020年底前完成年度绩效目标。所有专项资金开支均按照财务管理制度执行，资金的使用严格把关，财务资料完整。通过实时监管保证了国家资金使用的真实、合法、有效，提高了资金的使用率。</w:t>
      </w:r>
    </w:p>
    <w:p w14:paraId="2B248A1C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四、专项绩效情况分析</w:t>
      </w:r>
    </w:p>
    <w:p w14:paraId="33D31B22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（一）专项绩效评价定性分析</w:t>
      </w:r>
    </w:p>
    <w:p w14:paraId="44C4A6DA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本次绩效自评，我部深入基层调查研究，倾听群众意见、服务承诺以及服务态度、服务质量等各方面均给予了满意的评价，满意率为97%。</w:t>
      </w:r>
    </w:p>
    <w:p w14:paraId="4741E3EE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（二）综合绩效评价</w:t>
      </w:r>
    </w:p>
    <w:p w14:paraId="45D204D1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我部在县委的正确领导下,建立了队伍管理长效机制，不断加强队伍正规化建设，抓好全县理论研究工作、引导社会舆论、社会宣传工作、新闻宣传工作、对外宣传工作、网络新闻宣传工作、县委理论学习中心组、精神文明建设工作、未成年人思想道德教育工作、文化建设指导工作、文学事业和社会文化事业、宣传文化系统干部培训工作、完成县委、县政府交办的各项任务。提高了财政资金的使用绩效，群众满意度极大提高。根据评价小组设定的2020年度专项资金绩效评价指标得分97分。</w:t>
      </w:r>
    </w:p>
    <w:p w14:paraId="250F9A39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五、存在的主要问题</w:t>
      </w:r>
    </w:p>
    <w:p w14:paraId="629C3D71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（1）对于绩效评价的认识不够深入，把预算绩效简单等同于工作目标</w:t>
      </w:r>
      <w:r>
        <w:rPr>
          <w:rFonts w:hint="eastAsia"/>
          <w:color w:val="333333"/>
          <w:sz w:val="28"/>
          <w:szCs w:val="28"/>
        </w:rPr>
        <w:lastRenderedPageBreak/>
        <w:t>、工作考核和业务管理。</w:t>
      </w:r>
    </w:p>
    <w:p w14:paraId="1EEE15DC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（2）绩效目标和指标往往根据项目实际完成情况制定，对项目执行过程有效约束不够，存在一定的偏差。</w:t>
      </w:r>
    </w:p>
    <w:p w14:paraId="2EC94B6D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（3）在绩效考评指标的设计上，部分特色指标缺乏数据支持和可行的分析测评，绩效指标体系有待完善。</w:t>
      </w:r>
    </w:p>
    <w:p w14:paraId="7B5F5868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六、改进措施和有关建议</w:t>
      </w:r>
    </w:p>
    <w:p w14:paraId="13CF7662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加强绩效评价管理制度和流程的建设，进一步深化、完善绩效管理体系，建立全过程的预算绩效管理机制，促进绩效管理工作向广度和深度延伸。</w:t>
      </w:r>
    </w:p>
    <w:p w14:paraId="18FD56F6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规范绩效评价管理资料的收集整理，确保相关信息完整、可靠，客观公正地反映项目资金实际使用和产生的绩效状况，为今后该项目实施方向及管理方式的改进提供指导。</w:t>
      </w:r>
    </w:p>
    <w:p w14:paraId="49FDC82D" w14:textId="77777777" w:rsidR="00094AA5" w:rsidRDefault="00000000">
      <w:pPr>
        <w:pStyle w:val="a8"/>
        <w:widowControl w:val="0"/>
        <w:overflowPunct w:val="0"/>
        <w:autoSpaceDE w:val="0"/>
        <w:autoSpaceDN w:val="0"/>
        <w:spacing w:before="0" w:beforeAutospacing="0" w:after="0" w:afterAutospacing="0" w:line="33" w:lineRule="atLeast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color w:val="333333"/>
          <w:sz w:val="28"/>
          <w:szCs w:val="28"/>
        </w:rPr>
        <w:t>建议加大财政预算经费投入力度，补足工作经费补足，完善基础设施，保障各项工作顺利开展；加强各项资金管理，实现资金的规范、高效、安全和廉洁使用。</w:t>
      </w:r>
    </w:p>
    <w:sectPr w:rsidR="0009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0F62" w14:textId="77777777" w:rsidR="005879B2" w:rsidRDefault="005879B2">
      <w:r>
        <w:separator/>
      </w:r>
    </w:p>
  </w:endnote>
  <w:endnote w:type="continuationSeparator" w:id="0">
    <w:p w14:paraId="4D5DDAA2" w14:textId="77777777" w:rsidR="005879B2" w:rsidRDefault="0058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4CDA" w14:textId="77777777" w:rsidR="00094AA5" w:rsidRDefault="00094AA5">
    <w:pPr>
      <w:pStyle w:val="a3"/>
      <w:snapToGrid w:val="0"/>
      <w:jc w:val="left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95C7" w14:textId="77777777" w:rsidR="00094AA5" w:rsidRDefault="00094AA5">
    <w:pPr>
      <w:pStyle w:val="a3"/>
      <w:snapToGrid w:val="0"/>
      <w:jc w:val="left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0321" w14:textId="77777777" w:rsidR="00094AA5" w:rsidRDefault="00094AA5">
    <w:pPr>
      <w:pStyle w:val="a3"/>
      <w:snapToGrid w:val="0"/>
      <w:jc w:val="lef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359A" w14:textId="77777777" w:rsidR="005879B2" w:rsidRDefault="005879B2">
      <w:r>
        <w:separator/>
      </w:r>
    </w:p>
  </w:footnote>
  <w:footnote w:type="continuationSeparator" w:id="0">
    <w:p w14:paraId="53650312" w14:textId="77777777" w:rsidR="005879B2" w:rsidRDefault="0058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7DD6" w14:textId="77777777" w:rsidR="00094AA5" w:rsidRDefault="00094AA5">
    <w:pPr>
      <w:pStyle w:val="a5"/>
      <w:pBdr>
        <w:bottom w:val="single" w:sz="6" w:space="0" w:color="000000"/>
      </w:pBdr>
      <w:snapToGrid w:val="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BB55" w14:textId="77777777" w:rsidR="00094AA5" w:rsidRDefault="00094AA5">
    <w:pPr>
      <w:pStyle w:val="a5"/>
      <w:pBdr>
        <w:bottom w:val="none" w:sz="0" w:space="0" w:color="000000"/>
      </w:pBdr>
      <w:snapToGrid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633C" w14:textId="77777777" w:rsidR="00094AA5" w:rsidRDefault="00094AA5">
    <w:pPr>
      <w:pStyle w:val="a5"/>
      <w:pBdr>
        <w:bottom w:val="single" w:sz="6" w:space="0" w:color="000000"/>
      </w:pBdr>
      <w:snapToGrid w:val="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A5"/>
    <w:rsid w:val="00094AA5"/>
    <w:rsid w:val="005879B2"/>
    <w:rsid w:val="00C877CF"/>
    <w:rsid w:val="061D4061"/>
    <w:rsid w:val="14837361"/>
    <w:rsid w:val="1FFC6DC6"/>
    <w:rsid w:val="2CC34B54"/>
    <w:rsid w:val="5122708D"/>
    <w:rsid w:val="52997CBF"/>
    <w:rsid w:val="538108D6"/>
    <w:rsid w:val="596A54DF"/>
    <w:rsid w:val="61A727FA"/>
    <w:rsid w:val="63B01DA5"/>
    <w:rsid w:val="718F71BD"/>
    <w:rsid w:val="72A35DB1"/>
    <w:rsid w:val="72E4372D"/>
    <w:rsid w:val="737F38A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ED784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6" w:qFormat="1"/>
    <w:lsdException w:name="Default Paragraph Font" w:semiHidden="1" w:uiPriority="2" w:qFormat="1"/>
    <w:lsdException w:name="Subtitle" w:uiPriority="16" w:qFormat="1"/>
    <w:lsdException w:name="Body Text Indent 2" w:uiPriority="99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37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jc w:val="both"/>
    </w:pPr>
    <w:rPr>
      <w:rFonts w:ascii="Calibri" w:eastAsia="Times New Roman" w:hAnsi="Calibri" w:cstheme="minorBidi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ascii="Calibri" w:eastAsia="Times New Roman" w:hAnsi="Calibri" w:cstheme="minorBidi"/>
      <w:sz w:val="28"/>
      <w:szCs w:val="28"/>
    </w:rPr>
  </w:style>
  <w:style w:type="paragraph" w:styleId="20">
    <w:name w:val="heading 2"/>
    <w:basedOn w:val="a"/>
    <w:next w:val="a"/>
    <w:link w:val="21"/>
    <w:uiPriority w:val="8"/>
    <w:qFormat/>
    <w:pPr>
      <w:keepNext/>
      <w:keepLines/>
      <w:outlineLvl w:val="1"/>
    </w:pPr>
    <w:rPr>
      <w:rFonts w:ascii="Cambria" w:eastAsia="Cambria" w:hAnsi="Cambria"/>
      <w:b/>
      <w:sz w:val="32"/>
      <w:szCs w:val="32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ascii="Calibri" w:eastAsia="Times New Roman" w:hAnsi="Calibri" w:cstheme="minorBidi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ascii="Calibri" w:eastAsia="Times New Roman" w:hAnsi="Calibri" w:cstheme="minorBidi"/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ascii="Calibri" w:eastAsia="Times New Roman" w:hAnsi="Calibri" w:cstheme="minorBidi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ascii="Calibri" w:eastAsia="Times New Roman" w:hAnsi="Calibri" w:cstheme="minorBidi"/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ascii="Calibri" w:eastAsia="Times New Roman" w:hAnsi="Calibri" w:cstheme="minorBidi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ascii="Calibri" w:eastAsia="Times New Roman" w:hAnsi="Calibri" w:cstheme="minorBidi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ascii="Calibri" w:eastAsia="Times New Roman" w:hAnsi="Calibr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line="480" w:lineRule="auto"/>
      <w:ind w:leftChars="200" w:left="420"/>
    </w:pPr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rFonts w:ascii="Calibri" w:eastAsia="Times New Roman" w:hAnsi="Calibri" w:cstheme="minorBidi"/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rFonts w:ascii="Calibri" w:eastAsia="Times New Roman" w:hAnsi="Calibri" w:cstheme="minorBidi"/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rFonts w:ascii="Calibri" w:eastAsia="Times New Roman" w:hAnsi="Calibri" w:cstheme="minorBidi"/>
      <w:sz w:val="21"/>
      <w:szCs w:val="21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rFonts w:ascii="Calibri" w:eastAsia="Times New Roman" w:hAnsi="Calibri" w:cstheme="minorBidi"/>
      <w:b/>
      <w:sz w:val="32"/>
      <w:szCs w:val="32"/>
    </w:rPr>
  </w:style>
  <w:style w:type="character" w:styleId="aa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c">
    <w:name w:val="No Spacing"/>
    <w:uiPriority w:val="5"/>
    <w:qFormat/>
    <w:pPr>
      <w:jc w:val="both"/>
    </w:pPr>
    <w:rPr>
      <w:rFonts w:ascii="Calibri" w:eastAsia="Times New Roman" w:hAnsi="Calibri" w:cstheme="minorBidi"/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d">
    <w:name w:val="Quote"/>
    <w:uiPriority w:val="21"/>
    <w:qFormat/>
    <w:pPr>
      <w:ind w:left="864" w:right="864"/>
      <w:jc w:val="center"/>
    </w:pPr>
    <w:rPr>
      <w:rFonts w:ascii="Calibri" w:eastAsia="Times New Roman" w:hAnsi="Calibri" w:cstheme="minorBidi"/>
      <w:i/>
      <w:color w:val="404040"/>
      <w:sz w:val="21"/>
      <w:szCs w:val="21"/>
    </w:rPr>
  </w:style>
  <w:style w:type="paragraph" w:styleId="ae">
    <w:name w:val="Intense Quote"/>
    <w:uiPriority w:val="22"/>
    <w:qFormat/>
    <w:pPr>
      <w:ind w:left="950" w:right="950"/>
      <w:jc w:val="center"/>
    </w:pPr>
    <w:rPr>
      <w:rFonts w:ascii="Calibri" w:eastAsia="Times New Roman" w:hAnsi="Calibri" w:cstheme="minorBidi"/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rFonts w:ascii="Calibri" w:eastAsia="Times New Roman" w:hAnsi="Calibri" w:cstheme="minorBidi"/>
      <w:color w:val="2E74B5"/>
      <w:sz w:val="32"/>
      <w:szCs w:val="32"/>
    </w:rPr>
  </w:style>
  <w:style w:type="character" w:customStyle="1" w:styleId="21">
    <w:name w:val="标题 2 字符"/>
    <w:basedOn w:val="a0"/>
    <w:link w:val="20"/>
    <w:qFormat/>
    <w:rPr>
      <w:rFonts w:ascii="Cambria" w:eastAsia="Times New Roman" w:hAnsi="Cambria"/>
      <w:b/>
      <w:w w:val="100"/>
      <w:sz w:val="32"/>
      <w:szCs w:val="32"/>
      <w:shd w:val="clear" w:color="auto" w:fill="auto"/>
    </w:rPr>
  </w:style>
  <w:style w:type="character" w:customStyle="1" w:styleId="a6">
    <w:name w:val="页眉 字符"/>
    <w:basedOn w:val="a0"/>
    <w:link w:val="a5"/>
    <w:semiHidden/>
    <w:qFormat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semiHidden/>
    <w:qFormat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font71">
    <w:name w:val="font71"/>
    <w:basedOn w:val="a0"/>
    <w:qFormat/>
    <w:rPr>
      <w:rFonts w:ascii="Times New Roman" w:eastAsia="Times New Roman" w:hAnsi="Times New Roman"/>
      <w:w w:val="1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水管站绩效评价报告</dc:title>
  <dc:creator>Administrator</dc:creator>
  <cp:lastModifiedBy>jing mao</cp:lastModifiedBy>
  <cp:revision>4</cp:revision>
  <dcterms:created xsi:type="dcterms:W3CDTF">2020-01-09T11:22:00Z</dcterms:created>
  <dcterms:modified xsi:type="dcterms:W3CDTF">2023-11-10T08:04:00Z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0AF42264F6C54EEEBC5442D1C256FF59</vt:lpwstr>
  </property>
</Properties>
</file>