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pacing w:line="348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48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张家川县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机关事务服务中心部门</w:t>
      </w:r>
    </w:p>
    <w:p>
      <w:pPr>
        <w:spacing w:line="348" w:lineRule="auto"/>
        <w:jc w:val="center"/>
        <w:rPr>
          <w:rFonts w:hint="eastAsia" w:ascii="楷体_GB2312" w:hAnsi="宋体" w:eastAsia="楷体_GB2312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整体支出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绩效评价报告</w:t>
      </w:r>
    </w:p>
    <w:p>
      <w:pPr>
        <w:rPr>
          <w:rFonts w:hint="eastAsia" w:eastAsia="仿宋_GB2312"/>
          <w:b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ind w:firstLine="308" w:firstLineChars="147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评价类型：部门（单位）整体评价/自评</w:t>
      </w:r>
    </w:p>
    <w:p>
      <w:pPr>
        <w:spacing w:before="217" w:beforeLines="50" w:line="348" w:lineRule="auto"/>
        <w:ind w:firstLine="315" w:firstLineChars="150"/>
        <w:rPr>
          <w:rFonts w:hint="eastAsia"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主管部门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张家川县人民政府办公室    </w:t>
      </w:r>
      <w:r>
        <w:rPr>
          <w:rFonts w:hint="eastAsia" w:ascii="仿宋_GB2312" w:eastAsia="仿宋_GB2312"/>
          <w:szCs w:val="32"/>
          <w:u w:val="single"/>
        </w:rPr>
        <w:t xml:space="preserve">  </w:t>
      </w:r>
    </w:p>
    <w:p>
      <w:pPr>
        <w:spacing w:before="217" w:beforeLines="50" w:line="348" w:lineRule="auto"/>
        <w:ind w:firstLine="315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单位名称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>张家川县机关事务服务中心</w:t>
      </w:r>
      <w:r>
        <w:rPr>
          <w:rFonts w:hint="eastAsia" w:ascii="仿宋_GB2312" w:eastAsia="仿宋_GB2312"/>
          <w:szCs w:val="32"/>
          <w:u w:val="single"/>
        </w:rPr>
        <w:t xml:space="preserve"> </w:t>
      </w:r>
    </w:p>
    <w:p>
      <w:pPr>
        <w:spacing w:before="217" w:beforeLines="50" w:line="348" w:lineRule="auto"/>
        <w:ind w:firstLine="315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评价方式：自评</w:t>
      </w:r>
      <w:r>
        <w:rPr>
          <w:rFonts w:hint="eastAsia" w:ascii="仿宋_GB2312" w:eastAsia="仿宋_GB2312"/>
          <w:szCs w:val="32"/>
          <w:lang w:eastAsia="zh-CN"/>
        </w:rPr>
        <w:t>□</w:t>
      </w:r>
      <w:r>
        <w:rPr>
          <w:rFonts w:hint="eastAsia" w:ascii="仿宋_GB2312" w:eastAsia="仿宋_GB2312"/>
          <w:szCs w:val="32"/>
        </w:rPr>
        <w:t>/评价</w:t>
      </w:r>
      <w:r>
        <w:rPr>
          <w:rFonts w:hint="eastAsia" w:ascii="仿宋_GB2312" w:eastAsia="仿宋_GB2312"/>
          <w:szCs w:val="32"/>
          <w:lang w:eastAsia="zh-CN"/>
        </w:rPr>
        <w:t>☑</w:t>
      </w:r>
      <w:r>
        <w:rPr>
          <w:rFonts w:hint="eastAsia" w:ascii="仿宋_GB2312" w:eastAsia="仿宋_GB2312"/>
          <w:szCs w:val="32"/>
        </w:rPr>
        <w:t>/再评价□</w:t>
      </w:r>
    </w:p>
    <w:p>
      <w:pPr>
        <w:spacing w:before="217" w:beforeLines="50" w:line="348" w:lineRule="auto"/>
        <w:ind w:firstLine="315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评价机构：部门（单位）评价组</w:t>
      </w:r>
      <w:r>
        <w:rPr>
          <w:rFonts w:hint="eastAsia" w:ascii="仿宋_GB2312" w:eastAsia="仿宋_GB2312"/>
          <w:szCs w:val="32"/>
          <w:lang w:eastAsia="zh-CN"/>
        </w:rPr>
        <w:t>☑</w:t>
      </w:r>
      <w:r>
        <w:rPr>
          <w:rFonts w:hint="eastAsia" w:ascii="仿宋_GB2312" w:eastAsia="仿宋_GB2312"/>
          <w:szCs w:val="32"/>
        </w:rPr>
        <w:t>/第三方机构□</w:t>
      </w:r>
    </w:p>
    <w:p>
      <w:pPr>
        <w:spacing w:before="217" w:beforeLines="50" w:line="348" w:lineRule="auto"/>
        <w:jc w:val="center"/>
        <w:rPr>
          <w:rFonts w:hint="eastAsia" w:ascii="仿宋_GB2312" w:eastAsia="仿宋_GB2312"/>
          <w:szCs w:val="32"/>
        </w:rPr>
      </w:pPr>
    </w:p>
    <w:p>
      <w:pPr>
        <w:pStyle w:val="2"/>
        <w:rPr>
          <w:rFonts w:hint="eastAsia"/>
        </w:rPr>
      </w:pPr>
    </w:p>
    <w:p>
      <w:pPr>
        <w:spacing w:before="217" w:beforeLines="50" w:line="348" w:lineRule="auto"/>
        <w:jc w:val="center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报告日期：</w:t>
      </w:r>
      <w:r>
        <w:rPr>
          <w:rFonts w:hint="eastAsia" w:ascii="仿宋_GB2312" w:eastAsia="仿宋_GB2312"/>
          <w:szCs w:val="32"/>
          <w:lang w:val="en-US" w:eastAsia="zh-CN"/>
        </w:rPr>
        <w:t>2024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9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11</w:t>
      </w:r>
      <w:r>
        <w:rPr>
          <w:rFonts w:hint="eastAsia" w:ascii="仿宋_GB2312" w:eastAsia="仿宋_GB231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张家川县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机关事务服务中心部门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整体支出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绩效评价报告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1、预算编制及执行情况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（1）预算编制的准确完整性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年财政拨款收入年初预算数为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825.4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（2）预算执行的有效性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年财政拨款收入年初预算数为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万元，决算数为1470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15万元，预算执行有效。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2、单位基本职能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（一）主要职能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一是负责贯彻执行机关事务管理的法律法规和方针政策，开展全县公务用车改革工作。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二是负责全县公务用房管理、使用和处置。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三是负责指导、管理和监督全县公共机构的节能等工作。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四是完成县委、县政府和上级业务主管部门交办的其他工作。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（二）机构设置情况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年末有机构数是1个，为全额预算拨款的事业单位，和去年相比，没有变化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二、部门财政资金收支情况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（一）收入支出情况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年财政拨款收入年初预算数为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825.4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年度，张家川县机关事务服务中心支出为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811.4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721.34万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元。基本工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万元、津贴补贴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万元、奖励金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万元、职业年金缴费0万元、职工基本医疗保险缴费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万元、公务员医疗补助缴费0万元、其他社会保障缴费0万元、住房公积金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万元、医疗费0万元、其他工资福利支出0万元、离休费0万元、退休费0万元、抚恤金0万元、生活补助0万元、医疗费补助0万元、奖励金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万元、其他对个人和家庭的补助0万元。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重点经济分类支出执行情况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“三公”经费支出情况：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</w:t>
      </w:r>
      <w:r>
        <w:rPr>
          <w:rFonts w:hint="eastAsia" w:ascii="宋体" w:hAnsi="宋体" w:eastAsia="宋体" w:cs="宋体"/>
          <w:i w:val="0"/>
          <w:iCs w:val="0"/>
          <w:color w:val="000000"/>
          <w:w w:val="100"/>
          <w:kern w:val="0"/>
          <w:sz w:val="28"/>
          <w:szCs w:val="28"/>
          <w:u w:val="none"/>
          <w:shd w:val="clear"/>
          <w:lang w:val="en-US" w:eastAsia="zh-CN" w:bidi="ar"/>
        </w:rPr>
        <w:t>201.15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%，决算数小于预算数的主要原因：公务用车购置费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结转五个乡镇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和司勤人员差旅费控制。1.因公出国（境）经费支出情况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年我单位因公出国（境）费用0万元。较上年无变化。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因公出国（境）组团情况：本年度本单位使用公共预算财政拨款安排的出国（境）团组织0个，共有0人；参加其他单位组织的出国（境）团组0个，增加0万元。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2.公务用车购置和运行费支出情况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年年底，本部门共有车辆 30 辆，其中，领导干部用车无、机要通信用车无、应急保障用车无、执法执勤用车7辆、特种专业技术用车1辆、其他用车22辆。202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增加48.6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增加38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与去年基本没有变化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3.公务接待费用支出情况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年本单位公务接待费0万元，较上年无增减。其中国内公务接待共0批次，接待人次0人，较上年无增减。国外公务接待共0批次，接待人次0人，较上年无增减。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部门财政支出管理情况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1、预决算编制情况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预算编制上，严格执行《预算法》，根据县财政局的统一安排，结合本部门实际工作情况，认真编制部门预算，经领导审核后，及时报送县财政局。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决算编制上，按照实际支出情况据实编制决算报表，不虚报，不漏报，做到账表一致，账实相符，并在规定时间内报送县财政局审核。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2、执行管理情况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《预算法》，加强预算收支管理，不断建立健全内部管理制度，修订完善了加强机关财务管理的制度、规定等工作规章，建立了民主理财和财务监督小组，加强内部控制和监督。对各项资金的管理、经费收支审批等均作了明确规定，正确组织资金的筹集、调度和使用，债权债务及时结算、结清。切实做好厉行节约工作，全面落实五项管理制度要求，努力降低行政成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资产管理情况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为规范固定资产管理，实现固定资产的优化配置，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制定了固定资产管理制度，固定资产指定专人管理，及时登记，科学使用，每年年末对固定资产进行清查盘点，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</w:t>
      </w:r>
      <w:r>
        <w:rPr>
          <w:rFonts w:hint="eastAsia" w:ascii="仿宋_GB2312" w:hAnsi="仿宋_GB2312" w:eastAsia="仿宋_GB2312" w:cs="仿宋_GB2312"/>
          <w:sz w:val="32"/>
          <w:szCs w:val="32"/>
        </w:rPr>
        <w:t>定资产的调出、处置、报废、报损严格执行国家有关规定的审批程序办理。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在经费支出安排上，全面保障了机关正常运转。首先保障工资福利支出，每月工资准时上报。其次为各项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统计业务的工作开展做好后勤保障，在经费上保证各环保工作人员能够更好的履行职能职责，促进工作正常有序开展。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1、预算配置控制较好。财政供养人员控制在预算编制以内，“三公”经费预算保持相对稳定。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2、预算执行比较到位。支出总额控制在调整预算总额以内，全年无截留或滞留资金情况。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3、预算管理较为理想。制度执行总体较为有效，但仍需进一步强化。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（1）对于单位的政府采购项目，凡单位购买属于政府采购范围内的货物、工程和服务，严格遵守政府采购相关法律法规的规定办理审批手续，政府采购执行率达到100%。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资金使用管理逐步加强。单位支出严格按照国家财经法规和财务管理制度规定执行，正确组织资金的筹集、调度和使用，债权债务及时结算、结清。费用开支有标准、有预算，正确核算收入、支出。80%以上支出均通过财政直接支付方式办理，资金使用无截留、挤占、挪用、虚列支出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（3）部门预算收支严格按年初部门预算方案执行，部门预决算、“三公”经费预决算按要求及时进行了公开。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、财务管理情况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财务管理上从严要求，精打细算。全局严守财经纪律，认真贯彻执行中央、省、市、县各项规定，严格落实相关费用管理办法。会计核算健全，凭证编制准确、及时、账实相符。凡是政府集中采购目录要求的及达到采购限额标准的项目，均按要求上报县财政局采购中心统一采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numPr>
        <w:ilvl w:val="0"/>
        <w:numId w:val="0"/>
      </w:numPr>
      <w:autoSpaceDE/>
      <w:autoSpaceDN/>
      <w:snapToGrid w:val="0"/>
      <w:spacing w:before="0" w:after="0" w:line="240" w:lineRule="auto"/>
      <w:ind w:left="0" w:right="0" w:firstLine="0"/>
      <w:jc w:val="left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numPr>
        <w:ilvl w:val="0"/>
        <w:numId w:val="0"/>
      </w:numPr>
      <w:autoSpaceDE/>
      <w:autoSpaceDN/>
      <w:snapToGrid w:val="0"/>
      <w:spacing w:before="0" w:after="0" w:line="240" w:lineRule="auto"/>
      <w:ind w:left="0" w:right="0" w:firstLine="0"/>
      <w:jc w:val="left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numPr>
        <w:ilvl w:val="0"/>
        <w:numId w:val="0"/>
      </w:numPr>
      <w:autoSpaceDE/>
      <w:autoSpaceDN/>
      <w:snapToGrid w:val="0"/>
      <w:spacing w:before="0" w:after="0" w:line="240" w:lineRule="auto"/>
      <w:ind w:left="0" w:right="0" w:firstLine="0"/>
      <w:jc w:val="left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0" w:line="240" w:lineRule="auto"/>
      <w:ind w:left="0"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pBdr>
        <w:bottom w:val="single" w:color="000000" w:sz="6" w:space="0"/>
      </w:pBdr>
      <w:autoSpaceDE/>
      <w:autoSpaceDN/>
      <w:snapToGrid w:val="0"/>
      <w:spacing w:before="0" w:after="0" w:line="240" w:lineRule="auto"/>
      <w:ind w:left="0"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pBdr>
        <w:bottom w:val="single" w:color="000000" w:sz="6" w:space="0"/>
      </w:pBdr>
      <w:autoSpaceDE/>
      <w:autoSpaceDN/>
      <w:snapToGrid w:val="0"/>
      <w:spacing w:before="0" w:after="0" w:line="240" w:lineRule="auto"/>
      <w:ind w:left="0"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mNkYjgxMzY5YWNkMjE3ODEzNWYxNDEzZjg1OTAxMjEifQ=="/>
  </w:docVars>
  <w:rsids>
    <w:rsidRoot w:val="00000000"/>
    <w:rsid w:val="02832A46"/>
    <w:rsid w:val="042D4835"/>
    <w:rsid w:val="05F640F9"/>
    <w:rsid w:val="061D4061"/>
    <w:rsid w:val="08AB5CB8"/>
    <w:rsid w:val="120410E9"/>
    <w:rsid w:val="12EE24C3"/>
    <w:rsid w:val="14837361"/>
    <w:rsid w:val="187C26F6"/>
    <w:rsid w:val="1E2F362A"/>
    <w:rsid w:val="1F47157B"/>
    <w:rsid w:val="1FFC6DC6"/>
    <w:rsid w:val="25FC3D58"/>
    <w:rsid w:val="2CC34B54"/>
    <w:rsid w:val="3E4F055D"/>
    <w:rsid w:val="3FC75FD1"/>
    <w:rsid w:val="44110F59"/>
    <w:rsid w:val="4E403D00"/>
    <w:rsid w:val="4EB84248"/>
    <w:rsid w:val="50D51C9F"/>
    <w:rsid w:val="538108D6"/>
    <w:rsid w:val="54C45CB8"/>
    <w:rsid w:val="596A54DF"/>
    <w:rsid w:val="59C5546D"/>
    <w:rsid w:val="5DE11E92"/>
    <w:rsid w:val="61A727FA"/>
    <w:rsid w:val="63B01DA5"/>
    <w:rsid w:val="70F96CBD"/>
    <w:rsid w:val="718F71BD"/>
    <w:rsid w:val="73322A8C"/>
    <w:rsid w:val="75224B83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3" w:semiHidden="0" w:name="header"/>
    <w:lsdException w:qFormat="1" w:unhideWhenUsed="0" w:uiPriority="155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3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8"/>
      <w:szCs w:val="28"/>
      <w:shd w:val="clear"/>
    </w:rPr>
  </w:style>
  <w:style w:type="paragraph" w:styleId="4">
    <w:name w:val="heading 2"/>
    <w:basedOn w:val="1"/>
    <w:next w:val="1"/>
    <w:link w:val="40"/>
    <w:qFormat/>
    <w:uiPriority w:val="8"/>
    <w:pPr>
      <w:keepNext/>
      <w:keepLines/>
      <w:widowControl/>
      <w:wordWrap/>
      <w:autoSpaceDE/>
      <w:autoSpaceDN/>
    </w:pPr>
    <w:rPr>
      <w:rFonts w:ascii="Cambria" w:hAnsi="Cambria" w:eastAsia="Cambria"/>
      <w:b/>
      <w:w w:val="100"/>
      <w:sz w:val="32"/>
      <w:szCs w:val="32"/>
      <w:shd w:val="clear"/>
    </w:rPr>
  </w:style>
  <w:style w:type="paragraph" w:styleId="5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6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Times New Roman" w:cstheme="minorBidi"/>
      <w:b/>
      <w:w w:val="100"/>
      <w:sz w:val="21"/>
      <w:szCs w:val="21"/>
      <w:shd w:val="clear"/>
    </w:rPr>
  </w:style>
  <w:style w:type="paragraph" w:styleId="7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8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Times New Roman" w:cstheme="minorBidi"/>
      <w:b/>
      <w:w w:val="100"/>
      <w:sz w:val="21"/>
      <w:szCs w:val="21"/>
      <w:shd w:val="clear"/>
    </w:rPr>
  </w:style>
  <w:style w:type="paragraph" w:styleId="9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0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1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27">
    <w:name w:val="Default Paragraph Font"/>
    <w:semiHidden/>
    <w:qFormat/>
    <w:uiPriority w:val="2"/>
  </w:style>
  <w:style w:type="table" w:default="1" w:styleId="26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12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3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4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5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6">
    <w:name w:val="footer"/>
    <w:basedOn w:val="1"/>
    <w:link w:val="42"/>
    <w:qFormat/>
    <w:uiPriority w:val="155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7">
    <w:name w:val="header"/>
    <w:basedOn w:val="1"/>
    <w:link w:val="41"/>
    <w:qFormat/>
    <w:uiPriority w:val="153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8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9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0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Times New Roman" w:cstheme="minorBidi"/>
      <w:w w:val="100"/>
      <w:sz w:val="24"/>
      <w:szCs w:val="24"/>
      <w:shd w:val="clear"/>
    </w:rPr>
  </w:style>
  <w:style w:type="paragraph" w:styleId="21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2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3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5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Times New Roman" w:cstheme="minorBidi"/>
      <w:b/>
      <w:w w:val="100"/>
      <w:sz w:val="32"/>
      <w:szCs w:val="32"/>
      <w:shd w:val="clear"/>
    </w:rPr>
  </w:style>
  <w:style w:type="character" w:styleId="28">
    <w:name w:val="Strong"/>
    <w:qFormat/>
    <w:uiPriority w:val="20"/>
    <w:rPr>
      <w:b/>
      <w:w w:val="100"/>
      <w:sz w:val="21"/>
      <w:szCs w:val="21"/>
      <w:shd w:val="clear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30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3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Times New Roman" w:cstheme="minorBidi"/>
      <w:i/>
      <w:color w:val="404040"/>
      <w:w w:val="100"/>
      <w:sz w:val="21"/>
      <w:szCs w:val="21"/>
      <w:shd w:val="clear"/>
    </w:rPr>
  </w:style>
  <w:style w:type="paragraph" w:styleId="34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8">
    <w:name w:val="List Paragraph"/>
    <w:basedOn w:val="1"/>
    <w:qFormat/>
    <w:uiPriority w:val="26"/>
    <w:pPr>
      <w:widowControl/>
      <w:wordWrap/>
      <w:autoSpaceDE/>
      <w:autoSpaceDN/>
      <w:ind w:firstLine="420"/>
    </w:pPr>
  </w:style>
  <w:style w:type="paragraph" w:customStyle="1" w:styleId="39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Times New Roman" w:cstheme="minorBidi"/>
      <w:color w:val="2E74B5"/>
      <w:w w:val="100"/>
      <w:sz w:val="32"/>
      <w:szCs w:val="32"/>
      <w:shd w:val="clear"/>
    </w:rPr>
  </w:style>
  <w:style w:type="character" w:customStyle="1" w:styleId="40">
    <w:name w:val="Heading 2 Char"/>
    <w:basedOn w:val="27"/>
    <w:link w:val="4"/>
    <w:qFormat/>
    <w:uiPriority w:val="152"/>
    <w:rPr>
      <w:rFonts w:ascii="Cambria" w:hAnsi="Cambria" w:eastAsia="Times New Roman"/>
      <w:b/>
      <w:w w:val="100"/>
      <w:sz w:val="32"/>
      <w:szCs w:val="32"/>
      <w:shd w:val="clear"/>
    </w:rPr>
  </w:style>
  <w:style w:type="character" w:customStyle="1" w:styleId="41">
    <w:name w:val="Header Char"/>
    <w:basedOn w:val="27"/>
    <w:link w:val="17"/>
    <w:semiHidden/>
    <w:qFormat/>
    <w:uiPriority w:val="154"/>
    <w:rPr>
      <w:rFonts w:ascii="宋体" w:hAnsi="宋体" w:eastAsia="Times New Roman"/>
      <w:w w:val="100"/>
      <w:sz w:val="18"/>
      <w:szCs w:val="18"/>
      <w:shd w:val="clear"/>
    </w:rPr>
  </w:style>
  <w:style w:type="character" w:customStyle="1" w:styleId="42">
    <w:name w:val="Footer Char"/>
    <w:basedOn w:val="27"/>
    <w:link w:val="16"/>
    <w:semiHidden/>
    <w:qFormat/>
    <w:uiPriority w:val="156"/>
    <w:rPr>
      <w:rFonts w:ascii="宋体" w:hAnsi="宋体" w:eastAsia="Times New Roman"/>
      <w:w w:val="100"/>
      <w:sz w:val="18"/>
      <w:szCs w:val="18"/>
      <w:shd w:val="clear"/>
    </w:rPr>
  </w:style>
  <w:style w:type="character" w:customStyle="1" w:styleId="43">
    <w:name w:val="font71"/>
    <w:basedOn w:val="27"/>
    <w:qFormat/>
    <w:uiPriority w:val="157"/>
    <w:rPr>
      <w:rFonts w:ascii="Times New Roman" w:hAnsi="Times New Roman" w:eastAsia="Times New Roman"/>
      <w:w w:val="100"/>
      <w:sz w:val="24"/>
      <w:szCs w:val="24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2184</Words>
  <Characters>2355</Characters>
  <Lines>0</Lines>
  <Paragraphs>0</Paragraphs>
  <TotalTime>17</TotalTime>
  <ScaleCrop>false</ScaleCrop>
  <LinksUpToDate>false</LinksUpToDate>
  <CharactersWithSpaces>2370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2020-01-09T11:22:00Z</dcterms:created>
  <dc:creator>Administrator</dc:creator>
  <cp:lastModifiedBy>Administrator</cp:lastModifiedBy>
  <cp:lastPrinted>2023-06-06T03:40:00Z</cp:lastPrinted>
  <dcterms:modified xsi:type="dcterms:W3CDTF">2024-09-13T07:35:17Z</dcterms:modified>
  <dc:title>水管站绩效评价报告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3AA6B06E4FCB4887AAEC4428E8CC2C1C_13</vt:lpwstr>
  </property>
</Properties>
</file>