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6F2220">
      <w:pPr>
        <w:jc w:val="center"/>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 xml:space="preserve">2023年度恭门镇部门整体支出绩效      </w:t>
      </w:r>
      <w:bookmarkStart w:id="0" w:name="_GoBack"/>
      <w:bookmarkEnd w:id="0"/>
      <w:r>
        <w:rPr>
          <w:rFonts w:hint="eastAsia" w:ascii="方正小标宋简体" w:hAnsi="方正小标宋简体" w:eastAsia="方正小标宋简体" w:cs="方正小标宋简体"/>
          <w:b w:val="0"/>
          <w:bCs w:val="0"/>
          <w:sz w:val="44"/>
          <w:szCs w:val="44"/>
          <w:lang w:val="en-US" w:eastAsia="zh-CN"/>
        </w:rPr>
        <w:t>自评报告</w:t>
      </w:r>
    </w:p>
    <w:p w14:paraId="0BC8F0E3">
      <w:pPr>
        <w:jc w:val="both"/>
        <w:rPr>
          <w:rFonts w:hint="eastAsia" w:ascii="黑体" w:hAnsi="黑体" w:eastAsia="黑体" w:cs="黑体"/>
          <w:sz w:val="30"/>
          <w:szCs w:val="30"/>
          <w:lang w:val="en-US" w:eastAsia="zh-CN"/>
        </w:rPr>
      </w:pPr>
    </w:p>
    <w:p w14:paraId="5AFD994F">
      <w:pPr>
        <w:numPr>
          <w:ilvl w:val="0"/>
          <w:numId w:val="1"/>
        </w:numPr>
        <w:jc w:val="both"/>
        <w:rPr>
          <w:rFonts w:hint="eastAsia" w:ascii="黑体" w:hAnsi="黑体" w:eastAsia="黑体" w:cs="黑体"/>
          <w:sz w:val="30"/>
          <w:szCs w:val="30"/>
          <w:lang w:val="en-US" w:eastAsia="zh-CN"/>
        </w:rPr>
      </w:pPr>
      <w:r>
        <w:rPr>
          <w:rFonts w:hint="eastAsia" w:ascii="黑体" w:hAnsi="黑体" w:eastAsia="黑体" w:cs="黑体"/>
          <w:sz w:val="30"/>
          <w:szCs w:val="30"/>
          <w:lang w:val="en-US" w:eastAsia="zh-CN"/>
        </w:rPr>
        <w:t>部门（单位）概况</w:t>
      </w:r>
    </w:p>
    <w:p w14:paraId="79E744A4">
      <w:pPr>
        <w:numPr>
          <w:ilvl w:val="0"/>
          <w:numId w:val="2"/>
        </w:numPr>
        <w:jc w:val="both"/>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机构组成</w:t>
      </w:r>
    </w:p>
    <w:p w14:paraId="618E17CF">
      <w:pPr>
        <w:numPr>
          <w:ilvl w:val="0"/>
          <w:numId w:val="0"/>
        </w:numPr>
        <w:jc w:val="both"/>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 xml:space="preserve">  </w:t>
      </w:r>
      <w:r>
        <w:rPr>
          <w:rFonts w:hint="eastAsia" w:ascii="仿宋_GB2312" w:hAnsi="仿宋_GB2312" w:eastAsia="仿宋_GB2312" w:cs="仿宋_GB2312"/>
          <w:sz w:val="32"/>
          <w:szCs w:val="32"/>
          <w:lang w:val="en-US" w:eastAsia="zh-CN"/>
        </w:rPr>
        <w:t xml:space="preserve">   恭门镇党委、镇政府下设5个内设机构：党政综合办公室、党建工作办公室、经济发展和社会事务办公室（挂卫生健康办公室牌子）、社会治理和应急管理办公室、生态环境办公室。 镇人大办公室、镇纪委（监察室）、人民武装部、总工会、共青团、妇联等按有关规定或章程设置，接受镇党委的领导。 事业单位 下设5个公益一类事业单位：政务（便民）服务中心（挂退役军人服务站牌子）、公共事务服务中心（挂综合文化站牌子）、农业农村综合服务中心（挂农产品质量检测服务中心、农村公路管理所牌子）、社会治安综合治理中心、综合行政执法队。</w:t>
      </w:r>
    </w:p>
    <w:p w14:paraId="26DF0314">
      <w:pPr>
        <w:numPr>
          <w:ilvl w:val="0"/>
          <w:numId w:val="2"/>
        </w:numPr>
        <w:jc w:val="both"/>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机构职能</w:t>
      </w:r>
    </w:p>
    <w:p w14:paraId="5B735988">
      <w:pPr>
        <w:numPr>
          <w:ilvl w:val="0"/>
          <w:numId w:val="3"/>
        </w:numPr>
        <w:tabs>
          <w:tab w:val="left" w:pos="0"/>
          <w:tab w:val="clear" w:pos="312"/>
        </w:tabs>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党政综合办公室(挂民族宗教事务办公室牌子)。负责党委、政府机关日常事务办理和综合协调等工作;负责意识形态、思想宣传、统一战线、机构编制、民族宗教、精神文明建设等工作;负责统筹推进权责清单制度建设工作;负责公文起草审核、文电收发、保密、机要、政务公开、档案资产管理、督查考核、人事劳资、机关后勤等工作;负责人大建议、政协提案办理和政协委员联络等工作。</w:t>
      </w:r>
    </w:p>
    <w:p w14:paraId="78EA08A6">
      <w:pPr>
        <w:numPr>
          <w:ilvl w:val="0"/>
          <w:numId w:val="3"/>
        </w:numPr>
        <w:tabs>
          <w:tab w:val="left" w:pos="0"/>
          <w:tab w:val="clear" w:pos="312"/>
        </w:tabs>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党建工作办公室。负责基层党的政治建设、思想建设、组织建设、作风建设和制度建设等工作;负责党员干部监督管理、教育培训、考核考评和人才队伍建设等工作;负责党代会代表联络、离退休党员服务保障等相关工作;负责指导辖区内小微企业、社会组织及新领域、新业态、新群体党建工作;负责协调指导工会、团委、妇联等群团开展有关工作。</w:t>
      </w:r>
    </w:p>
    <w:p w14:paraId="61125CE0">
      <w:pPr>
        <w:numPr>
          <w:ilvl w:val="0"/>
          <w:numId w:val="3"/>
        </w:numPr>
        <w:tabs>
          <w:tab w:val="left" w:pos="0"/>
          <w:tab w:val="clear" w:pos="312"/>
        </w:tabs>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经济发展和社会事务办公室(挂卫生健康办公室牌子)。负责制订实施国民经济和社会发展规划等工作;负责工信、科技、金融、审计、统计等工作;负责商贸物流、电子商务等工作;负责镇村振兴战略具体实施，各类涉农资金监管、产业发展规划、招商引资、镇村规划、新型城镇化建设等工作;负责社会保障、社会救助、卫生健康、医疗保障、住房保障、公共就业、劳动保障、教育、计划生育、民政事务、农村社区管理等工作。</w:t>
      </w:r>
    </w:p>
    <w:p w14:paraId="586D03D4">
      <w:pPr>
        <w:numPr>
          <w:ilvl w:val="0"/>
          <w:numId w:val="3"/>
        </w:numPr>
        <w:tabs>
          <w:tab w:val="left" w:pos="0"/>
          <w:tab w:val="clear" w:pos="312"/>
        </w:tabs>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社会治理和应急管理办公室。负责基层民主政治建设和村社治理、政法、综治维稳、网络安全、舆情监测、护路护线、禁毒、反邪教、信访投诉、人民调解、行政调解、平安建设等工作;负责人民防空、安全生产、交通安全、粮食安全、物资储备等工作;负责网格化监管任务和事项清单制订完善，研判预警、协调联动、问题转办、督查考核等工作;负责各类自然灾害和公共突发事件应急预案的制订实施工作;负责防汛抗旱、森林草原防火、地震和地质灾害等防灾救灾减灾及突发公共事件的应急管理、救援和处置工作;负责各种防灾救灾物资设施的保障维护、分配管理和监督使用等工作。</w:t>
      </w:r>
    </w:p>
    <w:p w14:paraId="3C65FF44">
      <w:pPr>
        <w:numPr>
          <w:ilvl w:val="0"/>
          <w:numId w:val="3"/>
        </w:numPr>
        <w:tabs>
          <w:tab w:val="left" w:pos="0"/>
          <w:tab w:val="clear" w:pos="312"/>
        </w:tabs>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生态环境办公室。负责生态文明建设，组织实施生态环境保护、污染防治攻坚、各类环境资源综合保护及规划利用等工作;负责农村饮用水源地保护、生活污水和垃圾分类处理、畜牧水产养殖污染防治、农业面源污染防治、大气污染防治、土壤污染防治等工作;负责河道管理、流域环境治理、农村人居环境整治和全域无垃圾等工作;负责做好辖区生态环境污染的监督检查、调查处理的配合协调等相关工作;负责各类自然资源的保护开发利用等工作。</w:t>
      </w:r>
    </w:p>
    <w:p w14:paraId="4A79F0AA">
      <w:pPr>
        <w:numPr>
          <w:ilvl w:val="0"/>
          <w:numId w:val="3"/>
        </w:numPr>
        <w:tabs>
          <w:tab w:val="left" w:pos="0"/>
          <w:tab w:val="clear" w:pos="312"/>
        </w:tabs>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农业农村综合服务中心(挂农产品质量检测服务中心、农村公路管理所牌子)。负责农林水牧渔等方面的技术引进、推广、服务和应用等工作;负责农业合作经济组织建设发展、产业开发、农村经营等工作;负责农业机械化技术推广等工作;负责各类技术人才和职业农民的教育、培训、业务指导等工作;负责各类农业灾害防治、农作物病虫害监测防治、动植物疫病防控防治等工作;负责农产品质量检验检测等工作;负责农村公路管护等工作。</w:t>
      </w:r>
    </w:p>
    <w:p w14:paraId="5B68DAEC">
      <w:pPr>
        <w:numPr>
          <w:ilvl w:val="0"/>
          <w:numId w:val="3"/>
        </w:numPr>
        <w:tabs>
          <w:tab w:val="left" w:pos="0"/>
          <w:tab w:val="clear" w:pos="312"/>
        </w:tabs>
        <w:ind w:firstLine="640" w:firstLineChars="200"/>
        <w:jc w:val="both"/>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政务(便民)服务中心(挂退役军人服务站牌子)。负责各项政务服务事项受理办理等工作;负责12345政务服务热线转办受理工作;负责指导村社便民服务站和网上服务站点建设管理工作;负责修订完善公共服务事项目录清单、办事指南和工作规程等工作;负责推行“-站式”服务和“最多跑一次改革”各项工作;负责社会救助、社会保障、医疗保险、养老保险、社会保险、计生、卫生、老龄、婚姻、不动产登记等便民服务工作;负责退役军人来信来访、权益维护、拥军优抚、信息采集等工作。</w:t>
      </w:r>
    </w:p>
    <w:p w14:paraId="0FC62074">
      <w:pPr>
        <w:numPr>
          <w:ilvl w:val="0"/>
          <w:numId w:val="3"/>
        </w:numPr>
        <w:tabs>
          <w:tab w:val="left" w:pos="0"/>
          <w:tab w:val="clear" w:pos="312"/>
        </w:tabs>
        <w:ind w:firstLine="640" w:firstLineChars="200"/>
        <w:jc w:val="both"/>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社会治安综合治理中心。负责社会治安防控体系建设、平安创建活动等工作;负责基本网格单元划分，统筹网格内党的建设、社会保障、综合治理、应急管理、社会救助等多网合一工作;负责整合党的建设、综合治理、村社治理、数字城管等各系统指挥信息资源，做好一体化的信息系统和综合指挥平台的建设、管理维护、技术服务、信息监测监控等工作。</w:t>
      </w:r>
    </w:p>
    <w:p w14:paraId="54B17E5C">
      <w:pPr>
        <w:numPr>
          <w:ilvl w:val="0"/>
          <w:numId w:val="3"/>
        </w:numPr>
        <w:tabs>
          <w:tab w:val="left" w:pos="0"/>
          <w:tab w:val="clear" w:pos="312"/>
        </w:tabs>
        <w:ind w:firstLine="640" w:firstLineChars="200"/>
        <w:jc w:val="both"/>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公共事务服务中心(挂综合文化站牌子)。负责镇村建设、园林绿化、卫生清理、防污减排、危旧房改造、改水改厕、基础设施建设等工作;负责各类项目建设服务保障等工作;负责水、电、气、暖、通讯、道路交通及其他公共事务的服务协调保障工作;负责镇村公共文化体系建设和镇村文明等工作;负责镇村旅游的规划指导、宣传建设、开发利用等工作;负责古村古镇、建筑群、遗迹及各类文物的普查保护，以及非物质文化遗产的保护、普及、传承、开发等工作;负责成担各级各类文化体育活动、文艺演出的组织开展、协调配合、服务保障等工作;负责广播电视资源普查挖掘、保护利用及应急广播体系建设等工作;负责文化体育活动场馆等文化平台的建设管理和维护保障等工作。</w:t>
      </w:r>
      <w:r>
        <w:rPr>
          <w:rFonts w:hint="eastAsia" w:ascii="仿宋_GB2312" w:hAnsi="仿宋_GB2312" w:eastAsia="仿宋_GB2312" w:cs="仿宋_GB2312"/>
          <w:sz w:val="32"/>
          <w:szCs w:val="32"/>
          <w:lang w:val="en-US" w:eastAsia="zh-CN"/>
        </w:rPr>
        <w:br w:type="textWrapping"/>
      </w:r>
    </w:p>
    <w:p w14:paraId="7BB0C2D0">
      <w:pPr>
        <w:numPr>
          <w:ilvl w:val="0"/>
          <w:numId w:val="3"/>
        </w:numPr>
        <w:tabs>
          <w:tab w:val="left" w:pos="0"/>
          <w:tab w:val="clear" w:pos="312"/>
        </w:tabs>
        <w:ind w:firstLine="640" w:firstLineChars="200"/>
        <w:jc w:val="both"/>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综合行政执法队。根据张家川县人民政府赋予镇镇的部分县级经济社会管理权限，按照有关法律规定相对集中行使行政处罚权;负责权限外执法事项的日常巡查、接受投诉举报和协助调查取证等工作。</w:t>
      </w:r>
    </w:p>
    <w:p w14:paraId="4380CA52">
      <w:pPr>
        <w:numPr>
          <w:ilvl w:val="0"/>
          <w:numId w:val="3"/>
        </w:numPr>
        <w:tabs>
          <w:tab w:val="left" w:pos="0"/>
          <w:tab w:val="clear" w:pos="312"/>
        </w:tabs>
        <w:ind w:firstLine="640" w:firstLineChars="200"/>
        <w:jc w:val="both"/>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恭门镇工会、妇联和共青团等群众团体机构，按照有关法规和章程设置，履行相应职能。恭门镇人大办公室、监察室、人民武装部、财政所、扶贫工作站等机构按有关规定设置，履行相关职责，接受镇党委的领导。</w:t>
      </w:r>
    </w:p>
    <w:p w14:paraId="268C3204">
      <w:pPr>
        <w:numPr>
          <w:ilvl w:val="0"/>
          <w:numId w:val="2"/>
        </w:numPr>
        <w:jc w:val="both"/>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人员概况</w:t>
      </w:r>
    </w:p>
    <w:p w14:paraId="2E152548">
      <w:pPr>
        <w:numPr>
          <w:ilvl w:val="0"/>
          <w:numId w:val="4"/>
        </w:numPr>
        <w:tabs>
          <w:tab w:val="left" w:pos="0"/>
          <w:tab w:val="clear" w:pos="312"/>
        </w:tabs>
        <w:ind w:firstLine="640" w:firstLineChars="200"/>
        <w:jc w:val="both"/>
        <w:rPr>
          <w:rFonts w:hint="default" w:ascii="仿宋_GB2312" w:hAnsi="仿宋_GB2312" w:eastAsia="仿宋_GB2312" w:cs="仿宋_GB2312"/>
          <w:sz w:val="30"/>
          <w:szCs w:val="30"/>
          <w:lang w:val="en-US" w:eastAsia="zh-CN"/>
        </w:rPr>
      </w:pPr>
      <w:r>
        <w:rPr>
          <w:rFonts w:hint="eastAsia" w:ascii="仿宋_GB2312" w:hAnsi="仿宋_GB2312" w:eastAsia="仿宋_GB2312" w:cs="仿宋_GB2312"/>
          <w:sz w:val="32"/>
          <w:szCs w:val="32"/>
          <w:lang w:val="en-US" w:eastAsia="zh-CN"/>
        </w:rPr>
        <w:t>恭门镇核定机关行政编制26名，机关工勤2名。恭门镇党政内设机构均为股级。恭门镇核定全额拨款事业编制共41名。恭门镇事业单位类别均为公益一类，综合行政执法队机构规格为正科级建制，其他事业单位机构规格为副科级建制。</w:t>
      </w:r>
    </w:p>
    <w:p w14:paraId="7B48A1D6">
      <w:pPr>
        <w:numPr>
          <w:ilvl w:val="0"/>
          <w:numId w:val="1"/>
        </w:numPr>
        <w:jc w:val="both"/>
        <w:rPr>
          <w:rFonts w:hint="eastAsia" w:ascii="黑体" w:hAnsi="黑体" w:eastAsia="黑体" w:cs="黑体"/>
          <w:sz w:val="30"/>
          <w:szCs w:val="30"/>
          <w:lang w:val="en-US" w:eastAsia="zh-CN"/>
        </w:rPr>
      </w:pPr>
      <w:r>
        <w:rPr>
          <w:rFonts w:hint="eastAsia" w:ascii="黑体" w:hAnsi="黑体" w:eastAsia="黑体" w:cs="黑体"/>
          <w:sz w:val="30"/>
          <w:szCs w:val="30"/>
          <w:lang w:val="en-US" w:eastAsia="zh-CN"/>
        </w:rPr>
        <w:t>部门财政资金收支情况</w:t>
      </w:r>
    </w:p>
    <w:p w14:paraId="67C98FA6">
      <w:pPr>
        <w:numPr>
          <w:ilvl w:val="0"/>
          <w:numId w:val="0"/>
        </w:numPr>
        <w:jc w:val="both"/>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（一）部门财政资金收入情况</w:t>
      </w:r>
    </w:p>
    <w:p w14:paraId="515E60DE">
      <w:pPr>
        <w:numPr>
          <w:ilvl w:val="0"/>
          <w:numId w:val="0"/>
        </w:numPr>
        <w:jc w:val="both"/>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2023年部门决算财政拨款收入2182.08万元，其中一般公共预算财政拨款收入2182万元，国有资本经营预算财政拨款0.078万元。</w:t>
      </w:r>
    </w:p>
    <w:p w14:paraId="6D302DC3">
      <w:pPr>
        <w:numPr>
          <w:ilvl w:val="0"/>
          <w:numId w:val="5"/>
        </w:numPr>
        <w:jc w:val="both"/>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部门财政资金支出情况</w:t>
      </w:r>
    </w:p>
    <w:p w14:paraId="2D081CFD">
      <w:pPr>
        <w:numPr>
          <w:ilvl w:val="0"/>
          <w:numId w:val="0"/>
        </w:numPr>
        <w:jc w:val="both"/>
        <w:rPr>
          <w:rFonts w:hint="default" w:ascii="楷体" w:hAnsi="楷体" w:eastAsia="楷体" w:cs="楷体"/>
          <w:sz w:val="32"/>
          <w:szCs w:val="32"/>
          <w:lang w:val="en-US" w:eastAsia="zh-CN"/>
        </w:rPr>
      </w:pPr>
      <w:r>
        <w:rPr>
          <w:rFonts w:hint="eastAsia" w:ascii="仿宋_GB2312" w:hAnsi="仿宋_GB2312" w:eastAsia="仿宋_GB2312" w:cs="仿宋_GB2312"/>
          <w:sz w:val="32"/>
          <w:szCs w:val="32"/>
          <w:lang w:val="en-US" w:eastAsia="zh-CN"/>
        </w:rPr>
        <w:t xml:space="preserve">   2023年部门决算支出2182.08万元，年末结转0万元，其中基本支出1535.16万元，项目支出646.92万元；按支出经济分类：工资福利支出1477.6万元，商品福利支出512.63万元，对个人和家庭补助支出75万元，资本性支出（基础建设）88.78万元；按支出功能分类：一般公共服务支出1217.57万元，文化旅游体育与传媒支出4.8万元，社会保障和就业支出143万元，卫生健康支出102.8万元，节能环保支出10万元，城镇社区支出36万元，农林水支出439万元，自然资源海洋气象等支出30万元，住房保障支出116.27万元，国有资本经营预算支出0.078万元，灾害防治及应急管理支出82.52万元。</w:t>
      </w:r>
    </w:p>
    <w:p w14:paraId="36D604B8">
      <w:pPr>
        <w:numPr>
          <w:ilvl w:val="0"/>
          <w:numId w:val="1"/>
        </w:numPr>
        <w:jc w:val="both"/>
        <w:rPr>
          <w:rFonts w:hint="eastAsia" w:ascii="黑体" w:hAnsi="黑体" w:eastAsia="黑体" w:cs="黑体"/>
          <w:sz w:val="30"/>
          <w:szCs w:val="30"/>
          <w:lang w:val="en-US" w:eastAsia="zh-CN"/>
        </w:rPr>
      </w:pPr>
      <w:r>
        <w:rPr>
          <w:rFonts w:hint="eastAsia" w:ascii="黑体" w:hAnsi="黑体" w:eastAsia="黑体" w:cs="黑体"/>
          <w:sz w:val="30"/>
          <w:szCs w:val="30"/>
          <w:lang w:val="en-US" w:eastAsia="zh-CN"/>
        </w:rPr>
        <w:t>部门整体预算绩效管理情况</w:t>
      </w:r>
    </w:p>
    <w:p w14:paraId="4F0706A6">
      <w:pPr>
        <w:numPr>
          <w:ilvl w:val="0"/>
          <w:numId w:val="0"/>
        </w:numPr>
        <w:jc w:val="both"/>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（一）部门预算管理</w:t>
      </w:r>
    </w:p>
    <w:p w14:paraId="6608DE34">
      <w:pPr>
        <w:numPr>
          <w:ilvl w:val="0"/>
          <w:numId w:val="0"/>
        </w:numPr>
        <w:ind w:left="19" w:leftChars="9" w:firstLine="620" w:firstLineChars="194"/>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我镇按照财政预算编制规定和要求，结合单位年度工作计划采取人员经费按照县委组织部审核过的工资进行编制，公用经费按定额编制的方法按时完成人员经费、日常公用经费编制工作,切实做到数据完整和准确无误。对项目资金的预算，提出具体的项目、目标和实施计划，精准编制项目支出绩效申报表，提供准确的项目支撑依据，切实做到项目资金编制的合理化、人性化,并在规定的时限内完整、准确的报送到县级财政部门。预算资金保障了人员经费支出和单位正常运转需要，保证了单位全年工作任务的完成。</w:t>
      </w:r>
      <w:r>
        <w:rPr>
          <w:rFonts w:hint="eastAsia" w:ascii="仿宋_GB2312" w:hAnsi="仿宋_GB2312" w:eastAsia="仿宋_GB2312" w:cs="仿宋_GB2312"/>
          <w:sz w:val="32"/>
          <w:szCs w:val="32"/>
          <w:lang w:val="en-US" w:eastAsia="zh-CN"/>
        </w:rPr>
        <w:br w:type="textWrapping"/>
      </w:r>
      <w:r>
        <w:rPr>
          <w:rFonts w:hint="eastAsia" w:ascii="仿宋_GB2312" w:hAnsi="仿宋_GB2312" w:eastAsia="仿宋_GB2312" w:cs="仿宋_GB2312"/>
          <w:sz w:val="32"/>
          <w:szCs w:val="32"/>
          <w:lang w:val="en-US" w:eastAsia="zh-CN"/>
        </w:rPr>
        <w:t xml:space="preserve">    在资金的支出执行上严格按照预算执行，坚持“反对浪费、节约开支”的原则，专款专用，不拖欠、不挪用。在收到财政对口股室下达的各类指标后，按照资金的用途，在把好审核关的基础上，按时按量按照资金预算进度及时拨付各项款项。人员经费、日常公用是按要求和规定给予支付，保障机关正常运转，完成日常工作任务,有效推动全县经济、社会发展。特别是在“三公”经费方面加强管理，不该报销的一律不给报销，严格把支出控制在年初的预算指标内，严格按照中央八项规定、省、市“十项规定”和财务相关规定执行财政资金的管理和使用。项目资金分配严格按照实际工作需要，依据项目进度和开展情况、合理安全、资金严格按照规范程序申请、管理和使用。通过项目实施充分保障了工作需求，切实发挥工作职能，维护全镇经济、社会发展。 </w:t>
      </w:r>
    </w:p>
    <w:p w14:paraId="7F4C6A75">
      <w:pPr>
        <w:numPr>
          <w:ilvl w:val="0"/>
          <w:numId w:val="0"/>
        </w:numPr>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结果运用情况</w:t>
      </w:r>
    </w:p>
    <w:p w14:paraId="038A7403">
      <w:pPr>
        <w:numPr>
          <w:ilvl w:val="0"/>
          <w:numId w:val="6"/>
        </w:numPr>
        <w:jc w:val="both"/>
        <w:rPr>
          <w:rFonts w:hint="eastAsia" w:ascii="仿宋_GB2312" w:hAnsi="仿宋_GB2312" w:eastAsia="仿宋_GB2312" w:cs="仿宋_GB2312"/>
          <w:sz w:val="32"/>
          <w:szCs w:val="32"/>
          <w:lang w:val="en-US" w:eastAsia="zh-CN"/>
        </w:rPr>
      </w:pPr>
      <w:r>
        <w:rPr>
          <w:rFonts w:hint="eastAsia" w:ascii="楷体" w:hAnsi="楷体" w:eastAsia="楷体" w:cs="楷体"/>
          <w:sz w:val="32"/>
          <w:szCs w:val="32"/>
          <w:lang w:val="en-US" w:eastAsia="zh-CN"/>
        </w:rPr>
        <w:t>结果应用情况</w:t>
      </w:r>
      <w:r>
        <w:rPr>
          <w:rFonts w:hint="eastAsia" w:ascii="仿宋_GB2312" w:hAnsi="仿宋_GB2312" w:eastAsia="仿宋_GB2312" w:cs="仿宋_GB2312"/>
          <w:sz w:val="32"/>
          <w:szCs w:val="32"/>
          <w:lang w:val="en-US" w:eastAsia="zh-CN"/>
        </w:rPr>
        <w:br w:type="textWrapping"/>
      </w:r>
      <w:r>
        <w:rPr>
          <w:rFonts w:hint="eastAsia" w:ascii="仿宋_GB2312" w:hAnsi="仿宋_GB2312" w:eastAsia="仿宋_GB2312" w:cs="仿宋_GB2312"/>
          <w:sz w:val="32"/>
          <w:szCs w:val="32"/>
          <w:lang w:val="en-US" w:eastAsia="zh-CN"/>
        </w:rPr>
        <w:t>1.年初部门预算绩效目标完成情况</w:t>
      </w:r>
      <w:r>
        <w:rPr>
          <w:rFonts w:hint="eastAsia" w:ascii="仿宋_GB2312" w:hAnsi="仿宋_GB2312" w:eastAsia="仿宋_GB2312" w:cs="仿宋_GB2312"/>
          <w:sz w:val="32"/>
          <w:szCs w:val="32"/>
          <w:lang w:val="en-US" w:eastAsia="zh-CN"/>
        </w:rPr>
        <w:br w:type="textWrapping"/>
      </w:r>
      <w:r>
        <w:rPr>
          <w:rFonts w:hint="eastAsia" w:ascii="仿宋_GB2312" w:hAnsi="仿宋_GB2312" w:eastAsia="仿宋_GB2312" w:cs="仿宋_GB2312"/>
          <w:sz w:val="32"/>
          <w:szCs w:val="32"/>
          <w:lang w:val="en-US" w:eastAsia="zh-CN"/>
        </w:rPr>
        <w:t xml:space="preserve">    (1)产出指标完成情况分析。我镇严格遵守各项财经纪律，加强单位财务管理，制定了相关规章制度，加强和细化了预算编制，严格按照预算执行，确保财务收支平衡。按照全年进度保证机关正常工作需要的人员经费和公用经费,保障机关正常运转，完成日常工作任务，有效推动工作的顺利开展。</w:t>
      </w:r>
      <w:r>
        <w:rPr>
          <w:rFonts w:hint="eastAsia" w:ascii="仿宋_GB2312" w:hAnsi="仿宋_GB2312" w:eastAsia="仿宋_GB2312" w:cs="仿宋_GB2312"/>
          <w:sz w:val="32"/>
          <w:szCs w:val="32"/>
          <w:lang w:val="en-US" w:eastAsia="zh-CN"/>
        </w:rPr>
        <w:br w:type="textWrapping"/>
      </w:r>
      <w:r>
        <w:rPr>
          <w:rFonts w:hint="eastAsia" w:ascii="仿宋_GB2312" w:hAnsi="仿宋_GB2312" w:eastAsia="仿宋_GB2312" w:cs="仿宋_GB2312"/>
          <w:sz w:val="32"/>
          <w:szCs w:val="32"/>
          <w:lang w:val="en-US" w:eastAsia="zh-CN"/>
        </w:rPr>
        <w:t xml:space="preserve">    (2)效益指标完成情况分析。我镇主要安排用于一般公共服务支出、社会保障和就业支出、卫生健康支出、节能环保支出、城镇社区支出、农林水支出、自然资源海洋气象等支出、灾害防治及应急管理支出等。</w:t>
      </w:r>
      <w:r>
        <w:rPr>
          <w:rFonts w:hint="eastAsia" w:ascii="仿宋_GB2312" w:hAnsi="仿宋_GB2312" w:eastAsia="仿宋_GB2312" w:cs="仿宋_GB2312"/>
          <w:sz w:val="32"/>
          <w:szCs w:val="32"/>
          <w:lang w:val="en-US" w:eastAsia="zh-CN"/>
        </w:rPr>
        <w:br w:type="textWrapping"/>
      </w:r>
      <w:r>
        <w:rPr>
          <w:rFonts w:hint="eastAsia" w:ascii="仿宋_GB2312" w:hAnsi="仿宋_GB2312" w:eastAsia="仿宋_GB2312" w:cs="仿宋_GB2312"/>
          <w:sz w:val="32"/>
          <w:szCs w:val="32"/>
          <w:lang w:val="en-US" w:eastAsia="zh-CN"/>
        </w:rPr>
        <w:t xml:space="preserve">    (3)满意度指标完成情况分析。通过财政绩效目标管理，基本达到满意。</w:t>
      </w:r>
      <w:r>
        <w:rPr>
          <w:rFonts w:hint="eastAsia" w:ascii="仿宋_GB2312" w:hAnsi="仿宋_GB2312" w:eastAsia="仿宋_GB2312" w:cs="仿宋_GB2312"/>
          <w:sz w:val="32"/>
          <w:szCs w:val="32"/>
          <w:lang w:val="en-US" w:eastAsia="zh-CN"/>
        </w:rPr>
        <w:br w:type="textWrapping"/>
      </w:r>
      <w:r>
        <w:rPr>
          <w:rFonts w:hint="eastAsia" w:ascii="仿宋_GB2312" w:hAnsi="仿宋_GB2312" w:eastAsia="仿宋_GB2312" w:cs="仿宋_GB2312"/>
          <w:sz w:val="32"/>
          <w:szCs w:val="32"/>
          <w:lang w:val="en-US" w:eastAsia="zh-CN"/>
        </w:rPr>
        <w:t>2.项目资金绩效目标完成情况</w:t>
      </w:r>
      <w:r>
        <w:rPr>
          <w:rFonts w:hint="eastAsia" w:ascii="仿宋_GB2312" w:hAnsi="仿宋_GB2312" w:eastAsia="仿宋_GB2312" w:cs="仿宋_GB2312"/>
          <w:sz w:val="32"/>
          <w:szCs w:val="32"/>
          <w:lang w:val="en-US" w:eastAsia="zh-CN"/>
        </w:rPr>
        <w:br w:type="textWrapping"/>
      </w:r>
      <w:r>
        <w:rPr>
          <w:rFonts w:hint="eastAsia" w:ascii="仿宋_GB2312" w:hAnsi="仿宋_GB2312" w:eastAsia="仿宋_GB2312" w:cs="仿宋_GB2312"/>
          <w:sz w:val="32"/>
          <w:szCs w:val="32"/>
          <w:lang w:val="en-US" w:eastAsia="zh-CN"/>
        </w:rPr>
        <w:t xml:space="preserve">    (1)产出指标完成情况分析。对项目资金的预算，提出具体的项目、目标和实施计划，精准编制项目支出绩效申报表，提供准确的项目支撑依据，切实做到项目资金编制的合理化、人性化，并在规定的时限内完整、准确的报送到县级财政部门。</w:t>
      </w:r>
      <w:r>
        <w:rPr>
          <w:rFonts w:hint="eastAsia" w:ascii="仿宋_GB2312" w:hAnsi="仿宋_GB2312" w:eastAsia="仿宋_GB2312" w:cs="仿宋_GB2312"/>
          <w:sz w:val="32"/>
          <w:szCs w:val="32"/>
          <w:lang w:val="en-US" w:eastAsia="zh-CN"/>
        </w:rPr>
        <w:br w:type="textWrapping"/>
      </w:r>
      <w:r>
        <w:rPr>
          <w:rFonts w:hint="eastAsia" w:ascii="仿宋_GB2312" w:hAnsi="仿宋_GB2312" w:eastAsia="仿宋_GB2312" w:cs="仿宋_GB2312"/>
          <w:sz w:val="32"/>
          <w:szCs w:val="32"/>
          <w:lang w:val="en-US" w:eastAsia="zh-CN"/>
        </w:rPr>
        <w:t xml:space="preserve">    在项目资金的支出执行上严格按照预算执行，坚持“反对浪费、节约开支”的原则，专款专用，不拖欠、不挪用。在收到财政对口股室下达的各类指标后，按照资金的用途，在把好审核关的基础上，按时按量按照资金预算进度及时拨付各项款项。项目资金分配严格按照实际工作需要，依据项目进度和开展情况、合理安全、资金严格按照规范程序申请、管理和使用。</w:t>
      </w:r>
    </w:p>
    <w:p w14:paraId="46A9B021">
      <w:pPr>
        <w:numPr>
          <w:ilvl w:val="0"/>
          <w:numId w:val="1"/>
        </w:numPr>
        <w:ind w:left="0" w:leftChars="0" w:firstLine="0" w:firstLineChars="0"/>
        <w:jc w:val="both"/>
        <w:rPr>
          <w:rFonts w:hint="eastAsia" w:ascii="黑体" w:hAnsi="黑体" w:eastAsia="黑体" w:cs="黑体"/>
          <w:sz w:val="30"/>
          <w:szCs w:val="30"/>
          <w:lang w:val="en-US" w:eastAsia="zh-CN"/>
        </w:rPr>
      </w:pPr>
      <w:r>
        <w:rPr>
          <w:rFonts w:hint="eastAsia" w:ascii="黑体" w:hAnsi="黑体" w:eastAsia="黑体" w:cs="黑体"/>
          <w:sz w:val="30"/>
          <w:szCs w:val="30"/>
          <w:lang w:val="en-US" w:eastAsia="zh-CN"/>
        </w:rPr>
        <w:t>评价结论及建议</w:t>
      </w:r>
    </w:p>
    <w:p w14:paraId="311EC193">
      <w:pPr>
        <w:numPr>
          <w:ilvl w:val="0"/>
          <w:numId w:val="7"/>
        </w:numPr>
        <w:jc w:val="both"/>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评价结论</w:t>
      </w:r>
    </w:p>
    <w:p w14:paraId="428571F6">
      <w:pPr>
        <w:numPr>
          <w:ilvl w:val="0"/>
          <w:numId w:val="0"/>
        </w:numPr>
        <w:ind w:firstLine="640" w:firstLineChars="200"/>
        <w:jc w:val="both"/>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根据部门整体支出绩效评价指标体系自评表检查情况，综合得分97分（总分为100分），总体考核等次确定为“优秀”。</w:t>
      </w:r>
    </w:p>
    <w:p w14:paraId="1269E00C">
      <w:pPr>
        <w:numPr>
          <w:ilvl w:val="0"/>
          <w:numId w:val="7"/>
        </w:numPr>
        <w:jc w:val="both"/>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存在问题</w:t>
      </w:r>
    </w:p>
    <w:p w14:paraId="5D34DA29">
      <w:pPr>
        <w:numPr>
          <w:ilvl w:val="0"/>
          <w:numId w:val="0"/>
        </w:numPr>
        <w:ind w:firstLine="640" w:firstLineChars="200"/>
        <w:jc w:val="both"/>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1.管理制度不完善，无绩效管理相关制度。</w:t>
      </w:r>
    </w:p>
    <w:p w14:paraId="759C04E6">
      <w:pPr>
        <w:numPr>
          <w:ilvl w:val="0"/>
          <w:numId w:val="0"/>
        </w:numPr>
        <w:ind w:firstLine="640" w:firstLineChars="200"/>
        <w:jc w:val="both"/>
        <w:rPr>
          <w:rFonts w:hint="eastAsia" w:ascii="楷体" w:hAnsi="楷体" w:eastAsia="楷体" w:cs="楷体"/>
          <w:sz w:val="32"/>
          <w:szCs w:val="32"/>
          <w:lang w:val="en-US" w:eastAsia="zh-CN"/>
        </w:rPr>
      </w:pPr>
      <w:r>
        <w:rPr>
          <w:rFonts w:hint="eastAsia" w:ascii="仿宋_GB2312" w:hAnsi="仿宋_GB2312" w:eastAsia="仿宋_GB2312" w:cs="仿宋_GB2312"/>
          <w:sz w:val="32"/>
          <w:szCs w:val="32"/>
          <w:lang w:val="en-US" w:eastAsia="zh-CN"/>
        </w:rPr>
        <w:t>2.绩效评价工作未能全面开展宣传培训。自评覆盖率低，绩效评价质量不高。</w:t>
      </w:r>
    </w:p>
    <w:p w14:paraId="0BD97833">
      <w:pPr>
        <w:numPr>
          <w:ilvl w:val="0"/>
          <w:numId w:val="7"/>
        </w:numPr>
        <w:ind w:left="0" w:leftChars="0" w:firstLine="0" w:firstLineChars="0"/>
        <w:jc w:val="left"/>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改进建议</w:t>
      </w:r>
    </w:p>
    <w:p w14:paraId="6204F264">
      <w:pPr>
        <w:numPr>
          <w:ilvl w:val="0"/>
          <w:numId w:val="0"/>
        </w:numPr>
        <w:ind w:leftChars="0"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1.完善绩效管理制度，全面公开较小信息，接受社会公众监督。</w:t>
      </w:r>
    </w:p>
    <w:p w14:paraId="6DD0AC1D">
      <w:pPr>
        <w:numPr>
          <w:ilvl w:val="0"/>
          <w:numId w:val="0"/>
        </w:numPr>
        <w:ind w:firstLine="640" w:firstLineChars="200"/>
        <w:jc w:val="both"/>
        <w:rPr>
          <w:rFonts w:hint="eastAsia" w:ascii="楷体" w:hAnsi="楷体" w:eastAsia="楷体" w:cs="楷体"/>
          <w:sz w:val="32"/>
          <w:szCs w:val="32"/>
          <w:lang w:val="en-US" w:eastAsia="zh-CN"/>
        </w:rPr>
      </w:pPr>
      <w:r>
        <w:rPr>
          <w:rFonts w:hint="eastAsia" w:ascii="仿宋_GB2312" w:hAnsi="仿宋_GB2312" w:eastAsia="仿宋_GB2312" w:cs="仿宋_GB2312"/>
          <w:sz w:val="32"/>
          <w:szCs w:val="32"/>
          <w:lang w:val="en-US" w:eastAsia="zh-CN"/>
        </w:rPr>
        <w:t>2.加强评价结果应用。对绩效好的政策和项目原则上优先保障，对绩效一般的政策和项目要督促改进。</w:t>
      </w:r>
    </w:p>
    <w:p w14:paraId="1F7E31E2">
      <w:pPr>
        <w:numPr>
          <w:ilvl w:val="0"/>
          <w:numId w:val="0"/>
        </w:numPr>
        <w:jc w:val="both"/>
        <w:rPr>
          <w:rFonts w:hint="eastAsia" w:ascii="仿宋_GB2312" w:hAnsi="仿宋_GB2312" w:eastAsia="仿宋_GB2312" w:cs="仿宋_GB2312"/>
          <w:sz w:val="32"/>
          <w:szCs w:val="32"/>
          <w:lang w:val="en-US" w:eastAsia="zh-CN"/>
        </w:rPr>
      </w:pPr>
    </w:p>
    <w:p w14:paraId="71F7D261">
      <w:pPr>
        <w:numPr>
          <w:ilvl w:val="0"/>
          <w:numId w:val="0"/>
        </w:numPr>
        <w:jc w:val="both"/>
        <w:rPr>
          <w:rFonts w:hint="eastAsia" w:ascii="黑体" w:hAnsi="黑体" w:eastAsia="黑体" w:cs="黑体"/>
          <w:sz w:val="30"/>
          <w:szCs w:val="30"/>
          <w:lang w:val="en-US" w:eastAsia="zh-CN"/>
        </w:rPr>
      </w:pPr>
    </w:p>
    <w:p w14:paraId="1F763462">
      <w:pPr>
        <w:numPr>
          <w:ilvl w:val="0"/>
          <w:numId w:val="0"/>
        </w:numPr>
        <w:jc w:val="both"/>
        <w:rPr>
          <w:rFonts w:hint="eastAsia" w:ascii="仿宋_GB2312" w:hAnsi="仿宋_GB2312" w:eastAsia="仿宋_GB2312" w:cs="仿宋_GB2312"/>
          <w:sz w:val="32"/>
          <w:szCs w:val="32"/>
          <w:lang w:val="en-US" w:eastAsia="zh-CN"/>
        </w:rPr>
      </w:pPr>
    </w:p>
    <w:p w14:paraId="71245D42">
      <w:pPr>
        <w:numPr>
          <w:ilvl w:val="0"/>
          <w:numId w:val="0"/>
        </w:numPr>
        <w:jc w:val="both"/>
        <w:rPr>
          <w:rFonts w:hint="eastAsia" w:ascii="仿宋_GB2312" w:hAnsi="仿宋_GB2312" w:eastAsia="仿宋_GB2312" w:cs="仿宋_GB2312"/>
          <w:sz w:val="32"/>
          <w:szCs w:val="32"/>
          <w:lang w:val="en-US" w:eastAsia="zh-CN"/>
        </w:rPr>
      </w:pPr>
    </w:p>
    <w:p w14:paraId="38E7DFD4">
      <w:pPr>
        <w:numPr>
          <w:ilvl w:val="0"/>
          <w:numId w:val="0"/>
        </w:numPr>
        <w:jc w:val="both"/>
        <w:rPr>
          <w:rFonts w:hint="eastAsia" w:ascii="黑体" w:hAnsi="黑体" w:eastAsia="黑体" w:cs="黑体"/>
          <w:sz w:val="30"/>
          <w:szCs w:val="30"/>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3F8C68D"/>
    <w:multiLevelType w:val="singleLevel"/>
    <w:tmpl w:val="B3F8C68D"/>
    <w:lvl w:ilvl="0" w:tentative="0">
      <w:start w:val="1"/>
      <w:numFmt w:val="chineseCounting"/>
      <w:suff w:val="nothing"/>
      <w:lvlText w:val="%1、"/>
      <w:lvlJc w:val="left"/>
      <w:rPr>
        <w:rFonts w:hint="eastAsia"/>
      </w:rPr>
    </w:lvl>
  </w:abstractNum>
  <w:abstractNum w:abstractNumId="1">
    <w:nsid w:val="B9445DB3"/>
    <w:multiLevelType w:val="singleLevel"/>
    <w:tmpl w:val="B9445DB3"/>
    <w:lvl w:ilvl="0" w:tentative="0">
      <w:start w:val="2"/>
      <w:numFmt w:val="chineseCounting"/>
      <w:suff w:val="nothing"/>
      <w:lvlText w:val="（%1）"/>
      <w:lvlJc w:val="left"/>
      <w:rPr>
        <w:rFonts w:hint="eastAsia"/>
      </w:rPr>
    </w:lvl>
  </w:abstractNum>
  <w:abstractNum w:abstractNumId="2">
    <w:nsid w:val="D24DBE41"/>
    <w:multiLevelType w:val="singleLevel"/>
    <w:tmpl w:val="D24DBE41"/>
    <w:lvl w:ilvl="0" w:tentative="0">
      <w:start w:val="1"/>
      <w:numFmt w:val="chineseCounting"/>
      <w:suff w:val="nothing"/>
      <w:lvlText w:val="（%1）"/>
      <w:lvlJc w:val="left"/>
      <w:rPr>
        <w:rFonts w:hint="eastAsia"/>
      </w:rPr>
    </w:lvl>
  </w:abstractNum>
  <w:abstractNum w:abstractNumId="3">
    <w:nsid w:val="DE4ECD6B"/>
    <w:multiLevelType w:val="singleLevel"/>
    <w:tmpl w:val="DE4ECD6B"/>
    <w:lvl w:ilvl="0" w:tentative="0">
      <w:start w:val="1"/>
      <w:numFmt w:val="chineseCounting"/>
      <w:suff w:val="nothing"/>
      <w:lvlText w:val="（%1）"/>
      <w:lvlJc w:val="left"/>
      <w:rPr>
        <w:rFonts w:hint="eastAsia"/>
      </w:rPr>
    </w:lvl>
  </w:abstractNum>
  <w:abstractNum w:abstractNumId="4">
    <w:nsid w:val="01C63BB2"/>
    <w:multiLevelType w:val="singleLevel"/>
    <w:tmpl w:val="01C63BB2"/>
    <w:lvl w:ilvl="0" w:tentative="0">
      <w:start w:val="1"/>
      <w:numFmt w:val="decimal"/>
      <w:lvlText w:val="%1."/>
      <w:lvlJc w:val="left"/>
      <w:pPr>
        <w:tabs>
          <w:tab w:val="left" w:pos="312"/>
        </w:tabs>
      </w:pPr>
    </w:lvl>
  </w:abstractNum>
  <w:abstractNum w:abstractNumId="5">
    <w:nsid w:val="3FD4AB63"/>
    <w:multiLevelType w:val="singleLevel"/>
    <w:tmpl w:val="3FD4AB63"/>
    <w:lvl w:ilvl="0" w:tentative="0">
      <w:start w:val="1"/>
      <w:numFmt w:val="decimal"/>
      <w:lvlText w:val="%1."/>
      <w:lvlJc w:val="left"/>
      <w:pPr>
        <w:tabs>
          <w:tab w:val="left" w:pos="312"/>
        </w:tabs>
      </w:pPr>
    </w:lvl>
  </w:abstractNum>
  <w:abstractNum w:abstractNumId="6">
    <w:nsid w:val="41B82468"/>
    <w:multiLevelType w:val="singleLevel"/>
    <w:tmpl w:val="41B82468"/>
    <w:lvl w:ilvl="0" w:tentative="0">
      <w:start w:val="2"/>
      <w:numFmt w:val="chineseCounting"/>
      <w:suff w:val="nothing"/>
      <w:lvlText w:val="（%1）"/>
      <w:lvlJc w:val="left"/>
      <w:rPr>
        <w:rFonts w:hint="eastAsia"/>
      </w:rPr>
    </w:lvl>
  </w:abstractNum>
  <w:num w:numId="1">
    <w:abstractNumId w:val="0"/>
  </w:num>
  <w:num w:numId="2">
    <w:abstractNumId w:val="2"/>
  </w:num>
  <w:num w:numId="3">
    <w:abstractNumId w:val="4"/>
  </w:num>
  <w:num w:numId="4">
    <w:abstractNumId w:val="5"/>
  </w:num>
  <w:num w:numId="5">
    <w:abstractNumId w:val="6"/>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RiMTQxMzRkZTQ4MzYxNGE4OTEyMmI1ZDc4Mjg3NjEifQ=="/>
  </w:docVars>
  <w:rsids>
    <w:rsidRoot w:val="421C3EF5"/>
    <w:rsid w:val="04BE4B89"/>
    <w:rsid w:val="1467076A"/>
    <w:rsid w:val="15125768"/>
    <w:rsid w:val="1C186DBA"/>
    <w:rsid w:val="20943C19"/>
    <w:rsid w:val="2E073C7C"/>
    <w:rsid w:val="3C1004C4"/>
    <w:rsid w:val="421C3EF5"/>
    <w:rsid w:val="48BC5937"/>
    <w:rsid w:val="4EFB2A6E"/>
    <w:rsid w:val="523E560F"/>
    <w:rsid w:val="59D50A38"/>
    <w:rsid w:val="5BF074F3"/>
    <w:rsid w:val="5C423F4D"/>
    <w:rsid w:val="68AB5C8E"/>
    <w:rsid w:val="6A203CA2"/>
    <w:rsid w:val="7FDF53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4084</Words>
  <Characters>4193</Characters>
  <Lines>0</Lines>
  <Paragraphs>0</Paragraphs>
  <TotalTime>10</TotalTime>
  <ScaleCrop>false</ScaleCrop>
  <LinksUpToDate>false</LinksUpToDate>
  <CharactersWithSpaces>4240</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2024-04-24T06:34:00Z</dcterms:created>
  <dc:creator>熊出没</dc:creator>
  <cp:lastModifiedBy>三岁、</cp:lastModifiedBy>
  <cp:lastPrinted>2024-04-25T08:48:00Z</cp:lastPrinted>
  <dcterms:modified xsi:type="dcterms:W3CDTF">2024-10-21T01:43:12Z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94ED724678F3431BB5C8991ACBB51D90</vt:lpwstr>
  </property>
</Properties>
</file>