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210" w:leftChars="100"/>
        <w:jc w:val="left"/>
        <w:rPr>
          <w:sz w:val="32"/>
          <w:szCs w:val="32"/>
        </w:rPr>
      </w:pPr>
      <w:r>
        <w:rPr>
          <w:rFonts w:hint="eastAsia" w:ascii="黑体" w:hAnsi="宋体" w:eastAsia="黑体" w:cs="黑体"/>
          <w:b/>
          <w:color w:val="000000"/>
          <w:kern w:val="0"/>
          <w:sz w:val="32"/>
          <w:szCs w:val="32"/>
        </w:rPr>
        <w:t>附件4：</w:t>
      </w:r>
    </w:p>
    <w:p>
      <w:pPr>
        <w:widowControl/>
        <w:jc w:val="center"/>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rPr>
        <w:t>张家川回族自治县工业和信息化局</w:t>
      </w:r>
    </w:p>
    <w:p>
      <w:pPr>
        <w:widowControl/>
        <w:jc w:val="center"/>
        <w:rPr>
          <w:sz w:val="32"/>
          <w:szCs w:val="32"/>
        </w:rPr>
      </w:pPr>
      <w:r>
        <w:rPr>
          <w:rFonts w:hint="eastAsia" w:ascii="方正小标宋简体" w:hAnsi="方正小标宋简体" w:eastAsia="方正小标宋简体" w:cs="方正小标宋简体"/>
          <w:color w:val="000000"/>
          <w:kern w:val="0"/>
          <w:sz w:val="36"/>
          <w:szCs w:val="36"/>
        </w:rPr>
        <w:t>整体支出绩效目标评价报告</w:t>
      </w:r>
    </w:p>
    <w:p>
      <w:pPr>
        <w:widowControl/>
        <w:ind w:firstLine="620" w:firstLineChars="200"/>
        <w:jc w:val="left"/>
      </w:pPr>
      <w:r>
        <w:rPr>
          <w:rFonts w:hint="eastAsia" w:ascii="仿宋" w:hAnsi="仿宋" w:eastAsia="仿宋" w:cs="仿宋"/>
          <w:color w:val="000000"/>
          <w:kern w:val="0"/>
          <w:sz w:val="31"/>
          <w:szCs w:val="31"/>
        </w:rPr>
        <w:t>为加强财政项目资金绩效管理，提高财政资金使用效益，根据《中华人民共和国预算法》《中共中央国务院关于全面实施预算绩效管理的意见》和《关于人大预算审查监督重点向支出预算和政策拓展的指导意见》等相关文件规定，对张家川县工信局整体支出情况开展了绩效目标评价，现将有关情况报告如下：</w:t>
      </w:r>
      <w:r>
        <w:rPr>
          <w:rFonts w:ascii="仿宋" w:hAnsi="仿宋" w:eastAsia="仿宋" w:cs="仿宋"/>
          <w:color w:val="000000"/>
          <w:kern w:val="0"/>
          <w:sz w:val="31"/>
          <w:szCs w:val="31"/>
        </w:rPr>
        <w:t xml:space="preserve"> </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一、项目基本情况</w:t>
      </w:r>
      <w:r>
        <w:rPr>
          <w:rFonts w:ascii="仿宋" w:hAnsi="仿宋" w:eastAsia="仿宋" w:cs="仿宋"/>
          <w:color w:val="000000"/>
          <w:kern w:val="0"/>
          <w:sz w:val="31"/>
          <w:szCs w:val="31"/>
        </w:rPr>
        <w:t xml:space="preserve"> </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（一）项目背景。</w:t>
      </w:r>
    </w:p>
    <w:p>
      <w:pPr>
        <w:spacing w:line="560" w:lineRule="exact"/>
        <w:ind w:firstLine="465" w:firstLineChars="150"/>
        <w:rPr>
          <w:rFonts w:ascii="仿宋" w:hAnsi="仿宋" w:eastAsia="仿宋" w:cs="仿宋"/>
          <w:color w:val="000000"/>
          <w:kern w:val="0"/>
          <w:sz w:val="31"/>
          <w:szCs w:val="31"/>
        </w:rPr>
      </w:pP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1、贯彻执行工业和信息化有关法律、法规、规章和方针、政策。制定全县工业和信息化工作的发展战略、中长期规划、年度计划、并会同有关方面组织实施。</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2、协调解决工业和信息化布局规划、结构调整、政策措施等方面的重大问题，推进工业和信息化体制改革和管理机制创新，提高行业综合素质和核心竞争力。</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3、组织实施城乡工业布局调整、三线调迁、老工业区改造和产业升级，推动创意产业发展；负责制定工业和循环经济产业园发展规划，推进工业项目向园区集中。指导工业和电子信息产业的质量管理。</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4、监测分析工业运行态势、统计并发布相关信息，进行预测预警和信息引导；调节煤、电、油、气、运等重要生产要素配置；协调解决工业运行中有关重大问题；推动工业领域信用体系建设，建立市场诚信公共服务平台；负责工业应急管理、产业安全和国防动员等有关工作。</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5、承担盐业行业管理，组织编制盐业发展规划、制定产业政策，制定和组织实施食盐供应应急预案、落实食盐储备制度。</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6、负责提出工业和信息化固定资产投资规模和方向（含利用外资和境外投资）、省市和本县用于工业和信息化建设资金安排意见。负责工业、通信业节能减排工作综合协调，拟订工业、通信业能源节约、发展循环经济、资源综合利用的规划并组织实施。</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7、负责中小企业发展的宏观指导，拟订促进中小企业和非公有制经济发展的措施，协调解决有关重大问题；指导和推动全县中小企业社会化服务体系建设和生产性服务业发展。</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8、指导协调工业信息资源开发利用、国家和地方工业信息技术标准的实施；推动软件业、信息服务业和新兴产业的发展，推进工业化和信息化融合；协调电信市场涉及社会公共利益的重大事宜；参与全县信息基础设施发展的规划和协调跨行业、跨部门面向社会服务网络的互联互通，促进电信、广播电视和计算机网络融合。</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9、会同有关部门组织信息安全保障体系的建立，加强对信息网络安全技术、设备和产品的监督管理；参与处理网络与信息安全重大事件；负责国防动员信息工作，保障重要通信。统一配置和管理全县无线电频谱资源，依法监督管理无线电台（站）；协调处理军地间无线电管理相关事宜；负责无线电监测、检测、干扰查处，协调处理电磁干扰事宜，维护空中电波秩序，依法组织实施无线电管制。</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10、负责民用爆破器材生产、销售企业和100%醇基燃料试点企业的安全生产行业管理；指导工业企业的安</w:t>
      </w:r>
      <w:r>
        <w:rPr>
          <w:rFonts w:hint="eastAsia" w:ascii="仿宋" w:hAnsi="仿宋" w:eastAsia="仿宋" w:cs="仿宋"/>
          <w:color w:val="000000"/>
          <w:kern w:val="0"/>
          <w:sz w:val="31"/>
          <w:szCs w:val="31"/>
          <w:lang w:eastAsia="zh-CN"/>
        </w:rPr>
        <w:t>全</w:t>
      </w:r>
      <w:bookmarkStart w:id="0" w:name="_GoBack"/>
      <w:bookmarkEnd w:id="0"/>
      <w:r>
        <w:rPr>
          <w:rFonts w:hint="eastAsia" w:ascii="仿宋" w:hAnsi="仿宋" w:eastAsia="仿宋" w:cs="仿宋"/>
          <w:color w:val="000000"/>
          <w:kern w:val="0"/>
          <w:sz w:val="31"/>
          <w:szCs w:val="31"/>
        </w:rPr>
        <w:t>生产工作。</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11、负责工业和信息化宣传、统计工作；参与全县工业和信息化法规落实情况的督查，负责工业和信息化行政执法检查。</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12、组织开展全县工业园区及其大型设施的规划、布局、论证、立项和配套工作，并监督其规范运营。</w:t>
      </w:r>
    </w:p>
    <w:p>
      <w:pPr>
        <w:spacing w:line="560" w:lineRule="exact"/>
        <w:ind w:firstLine="465" w:firstLineChars="150"/>
        <w:rPr>
          <w:rFonts w:ascii="仿宋" w:hAnsi="仿宋" w:eastAsia="仿宋" w:cs="仿宋"/>
          <w:color w:val="000000"/>
          <w:kern w:val="0"/>
          <w:sz w:val="31"/>
          <w:szCs w:val="31"/>
        </w:rPr>
      </w:pPr>
      <w:r>
        <w:rPr>
          <w:rFonts w:hint="eastAsia" w:ascii="仿宋" w:hAnsi="仿宋" w:eastAsia="仿宋" w:cs="仿宋"/>
          <w:color w:val="000000"/>
          <w:kern w:val="0"/>
          <w:sz w:val="31"/>
          <w:szCs w:val="31"/>
        </w:rPr>
        <w:t>13、承办县委、县政府和上级主管部门交办的其他工作。</w:t>
      </w:r>
    </w:p>
    <w:p>
      <w:pPr>
        <w:widowControl/>
        <w:ind w:firstLine="620" w:firstLineChars="200"/>
        <w:jc w:val="left"/>
      </w:pPr>
      <w:r>
        <w:rPr>
          <w:rFonts w:ascii="仿宋" w:hAnsi="仿宋" w:eastAsia="仿宋" w:cs="仿宋"/>
          <w:color w:val="000000"/>
          <w:kern w:val="0"/>
          <w:sz w:val="31"/>
          <w:szCs w:val="31"/>
        </w:rPr>
        <w:t xml:space="preserve"> </w:t>
      </w:r>
    </w:p>
    <w:p>
      <w:pPr>
        <w:widowControl/>
        <w:ind w:firstLine="622" w:firstLineChars="200"/>
        <w:jc w:val="left"/>
        <w:rPr>
          <w:rFonts w:ascii="楷体" w:hAnsi="楷体" w:eastAsia="楷体" w:cs="楷体"/>
          <w:b/>
          <w:color w:val="000000"/>
          <w:kern w:val="0"/>
          <w:sz w:val="31"/>
          <w:szCs w:val="31"/>
        </w:rPr>
      </w:pPr>
      <w:r>
        <w:rPr>
          <w:rFonts w:hint="eastAsia" w:ascii="楷体" w:hAnsi="楷体" w:eastAsia="楷体" w:cs="楷体"/>
          <w:b/>
          <w:color w:val="000000"/>
          <w:kern w:val="0"/>
          <w:sz w:val="31"/>
          <w:szCs w:val="31"/>
        </w:rPr>
        <w:t>（二）项目目标。</w:t>
      </w:r>
    </w:p>
    <w:p>
      <w:pPr>
        <w:widowControl/>
        <w:ind w:firstLine="775" w:firstLineChars="250"/>
        <w:jc w:val="left"/>
        <w:rPr>
          <w:rFonts w:ascii="仿宋" w:hAnsi="仿宋" w:eastAsia="仿宋" w:cs="仿宋"/>
          <w:color w:val="000000"/>
          <w:kern w:val="0"/>
          <w:sz w:val="31"/>
          <w:szCs w:val="31"/>
        </w:rPr>
      </w:pPr>
      <w:r>
        <w:rPr>
          <w:rFonts w:hint="eastAsia" w:ascii="仿宋" w:hAnsi="仿宋" w:eastAsia="仿宋" w:cs="仿宋"/>
          <w:color w:val="000000"/>
          <w:kern w:val="0"/>
          <w:sz w:val="31"/>
          <w:szCs w:val="31"/>
        </w:rPr>
        <w:t>1. 全面完成县委、县政府及市局安排的各项工作任务 ；</w:t>
      </w:r>
    </w:p>
    <w:p>
      <w:pPr>
        <w:widowControl/>
        <w:ind w:firstLine="620" w:firstLineChars="200"/>
        <w:jc w:val="left"/>
        <w:rPr>
          <w:rFonts w:ascii="仿宋" w:hAnsi="仿宋" w:eastAsia="仿宋" w:cs="仿宋"/>
          <w:color w:val="000000"/>
          <w:kern w:val="0"/>
          <w:sz w:val="31"/>
          <w:szCs w:val="31"/>
        </w:rPr>
      </w:pPr>
      <w:r>
        <w:rPr>
          <w:rFonts w:hint="eastAsia" w:ascii="仿宋" w:hAnsi="仿宋" w:eastAsia="仿宋" w:cs="仿宋"/>
          <w:color w:val="000000"/>
          <w:kern w:val="0"/>
          <w:sz w:val="31"/>
          <w:szCs w:val="31"/>
        </w:rPr>
        <w:t xml:space="preserve"> 2. 做好全县工业经济运行分析，为县委、县政府相关工作决策提供有力的保障；</w:t>
      </w:r>
    </w:p>
    <w:p>
      <w:pPr>
        <w:widowControl/>
        <w:ind w:firstLine="620" w:firstLineChars="200"/>
        <w:jc w:val="left"/>
      </w:pPr>
      <w:r>
        <w:rPr>
          <w:rFonts w:hint="eastAsia" w:ascii="仿宋" w:hAnsi="仿宋" w:eastAsia="仿宋" w:cs="仿宋"/>
          <w:color w:val="000000"/>
          <w:kern w:val="0"/>
          <w:sz w:val="31"/>
          <w:szCs w:val="31"/>
        </w:rPr>
        <w:t xml:space="preserve"> 3. 做好全县工业和信息化固定资产投资的摸排工作，为全县经济社会发展规划与建设提供强有力的证据与依据 。</w:t>
      </w:r>
      <w:r>
        <w:rPr>
          <w:rFonts w:ascii="仿宋" w:hAnsi="仿宋" w:eastAsia="仿宋" w:cs="仿宋"/>
          <w:color w:val="000000"/>
          <w:kern w:val="0"/>
          <w:sz w:val="31"/>
          <w:szCs w:val="31"/>
        </w:rPr>
        <w:t xml:space="preserve"> </w:t>
      </w:r>
    </w:p>
    <w:p>
      <w:pPr>
        <w:spacing w:line="560" w:lineRule="exact"/>
        <w:ind w:firstLine="778" w:firstLineChars="250"/>
        <w:rPr>
          <w:rFonts w:ascii="仿宋" w:hAnsi="仿宋" w:eastAsia="仿宋" w:cs="仿宋"/>
          <w:color w:val="000000"/>
          <w:kern w:val="0"/>
          <w:sz w:val="31"/>
          <w:szCs w:val="31"/>
        </w:rPr>
      </w:pPr>
      <w:r>
        <w:rPr>
          <w:rFonts w:hint="eastAsia" w:ascii="楷体" w:hAnsi="楷体" w:eastAsia="楷体" w:cs="楷体"/>
          <w:b/>
          <w:color w:val="000000"/>
          <w:kern w:val="0"/>
          <w:sz w:val="31"/>
          <w:szCs w:val="31"/>
        </w:rPr>
        <w:t>（三）主要内容及预算支出情况。</w:t>
      </w:r>
      <w:r>
        <w:rPr>
          <w:rFonts w:hint="eastAsia" w:ascii="仿宋" w:hAnsi="仿宋" w:eastAsia="仿宋" w:cs="仿宋"/>
          <w:color w:val="000000"/>
          <w:kern w:val="0"/>
          <w:sz w:val="31"/>
          <w:szCs w:val="31"/>
        </w:rPr>
        <w:t>该项目主要包括张家川县工信局</w:t>
      </w:r>
      <w:r>
        <w:rPr>
          <w:rFonts w:ascii="仿宋" w:hAnsi="仿宋" w:eastAsia="仿宋" w:cs="仿宋"/>
          <w:color w:val="000000"/>
          <w:kern w:val="0"/>
          <w:sz w:val="31"/>
          <w:szCs w:val="31"/>
        </w:rPr>
        <w:t>20</w:t>
      </w:r>
      <w:r>
        <w:rPr>
          <w:rFonts w:hint="eastAsia" w:ascii="仿宋" w:hAnsi="仿宋" w:eastAsia="仿宋" w:cs="仿宋"/>
          <w:color w:val="000000"/>
          <w:kern w:val="0"/>
          <w:sz w:val="31"/>
          <w:szCs w:val="31"/>
        </w:rPr>
        <w:t>21</w:t>
      </w: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年度一般公共预算财政拨款基本支出</w:t>
      </w:r>
      <w:r>
        <w:rPr>
          <w:rFonts w:hint="eastAsia" w:ascii="Times New Roman" w:hAnsi="Times New Roman" w:eastAsia="仿宋_GB2312" w:cs="Times New Roman"/>
          <w:color w:val="000000"/>
          <w:kern w:val="0"/>
          <w:sz w:val="32"/>
          <w:szCs w:val="32"/>
          <w:shd w:val="clear" w:color="auto" w:fill="FFFFFF"/>
        </w:rPr>
        <w:t>383.9769</w:t>
      </w:r>
      <w:r>
        <w:rPr>
          <w:rFonts w:hint="eastAsia" w:ascii="仿宋" w:hAnsi="仿宋" w:eastAsia="仿宋" w:cs="仿宋"/>
          <w:color w:val="000000"/>
          <w:kern w:val="0"/>
          <w:sz w:val="31"/>
          <w:szCs w:val="31"/>
        </w:rPr>
        <w:t>万元，其中：</w:t>
      </w:r>
      <w:r>
        <w:rPr>
          <w:rFonts w:ascii="仿宋" w:hAnsi="仿宋" w:eastAsia="仿宋" w:cs="仿宋"/>
          <w:color w:val="000000"/>
          <w:kern w:val="0"/>
          <w:sz w:val="31"/>
          <w:szCs w:val="31"/>
        </w:rPr>
        <w:t xml:space="preserve"> </w:t>
      </w:r>
    </w:p>
    <w:p>
      <w:pPr>
        <w:spacing w:line="560" w:lineRule="exact"/>
        <w:ind w:firstLine="775" w:firstLineChars="250"/>
        <w:rPr>
          <w:rFonts w:ascii="仿宋" w:hAnsi="仿宋" w:eastAsia="仿宋" w:cs="仿宋"/>
          <w:color w:val="000000"/>
          <w:kern w:val="0"/>
          <w:sz w:val="31"/>
          <w:szCs w:val="31"/>
        </w:rPr>
      </w:pPr>
      <w:r>
        <w:rPr>
          <w:rFonts w:ascii="仿宋" w:hAnsi="仿宋" w:eastAsia="仿宋" w:cs="仿宋"/>
          <w:color w:val="000000"/>
          <w:kern w:val="0"/>
          <w:sz w:val="31"/>
          <w:szCs w:val="31"/>
        </w:rPr>
        <w:t>1.</w:t>
      </w:r>
      <w:r>
        <w:rPr>
          <w:rFonts w:hint="eastAsia" w:ascii="宋体" w:hAnsi="宋体" w:cs="宋体"/>
          <w:color w:val="000000"/>
          <w:spacing w:val="12"/>
          <w:kern w:val="0"/>
          <w:sz w:val="24"/>
        </w:rPr>
        <w:t xml:space="preserve"> </w:t>
      </w:r>
      <w:r>
        <w:rPr>
          <w:rFonts w:hint="eastAsia" w:ascii="仿宋" w:hAnsi="仿宋" w:eastAsia="仿宋" w:cs="仿宋"/>
          <w:color w:val="000000"/>
          <w:kern w:val="0"/>
          <w:sz w:val="31"/>
          <w:szCs w:val="31"/>
        </w:rPr>
        <w:t>人员经费329.7736万元，主要包括：基本工资120.2793万元、津贴补贴102.1860万元、奖金11.0727万元、机关事业单位基本养老保险缴费42.2817万元、生活补助5.16万元、奖励金69.9174万元。</w:t>
      </w:r>
    </w:p>
    <w:p>
      <w:pPr>
        <w:spacing w:line="560" w:lineRule="exact"/>
        <w:ind w:firstLine="775" w:firstLineChars="250"/>
        <w:rPr>
          <w:rFonts w:ascii="仿宋" w:hAnsi="仿宋" w:eastAsia="仿宋" w:cs="仿宋"/>
          <w:color w:val="000000"/>
          <w:kern w:val="0"/>
          <w:sz w:val="31"/>
          <w:szCs w:val="31"/>
        </w:rPr>
      </w:pPr>
      <w:r>
        <w:rPr>
          <w:rFonts w:ascii="仿宋" w:hAnsi="仿宋" w:eastAsia="仿宋" w:cs="仿宋"/>
          <w:color w:val="000000"/>
          <w:kern w:val="0"/>
          <w:sz w:val="31"/>
          <w:szCs w:val="31"/>
        </w:rPr>
        <w:t>2.</w:t>
      </w:r>
      <w:r>
        <w:rPr>
          <w:rFonts w:hint="eastAsia" w:ascii="宋体" w:hAnsi="宋体" w:cs="宋体"/>
          <w:color w:val="000000"/>
          <w:spacing w:val="12"/>
          <w:kern w:val="0"/>
          <w:sz w:val="24"/>
        </w:rPr>
        <w:t xml:space="preserve"> </w:t>
      </w:r>
      <w:r>
        <w:rPr>
          <w:rFonts w:hint="eastAsia" w:ascii="仿宋" w:hAnsi="仿宋" w:eastAsia="仿宋" w:cs="仿宋"/>
          <w:color w:val="000000"/>
          <w:kern w:val="0"/>
          <w:sz w:val="31"/>
          <w:szCs w:val="31"/>
        </w:rPr>
        <w:t>日常公用经费8.0479万元，主要包括：办公费2.4232万元、印刷费0.5449万元、水费0.12万元、电费0.9979万元、邮电费1.6068万元、差旅费1.2371万元、劳务费0.342万元、其他交通费用0.7760万元。</w:t>
      </w:r>
    </w:p>
    <w:p>
      <w:pPr>
        <w:widowControl/>
        <w:ind w:firstLine="420" w:firstLineChars="200"/>
        <w:jc w:val="left"/>
      </w:pPr>
    </w:p>
    <w:p>
      <w:pPr>
        <w:widowControl/>
        <w:ind w:firstLine="620" w:firstLineChars="200"/>
        <w:jc w:val="left"/>
      </w:pPr>
      <w:r>
        <w:rPr>
          <w:rFonts w:hint="eastAsia" w:ascii="黑体" w:hAnsi="宋体" w:eastAsia="黑体" w:cs="黑体"/>
          <w:color w:val="000000"/>
          <w:kern w:val="0"/>
          <w:sz w:val="31"/>
          <w:szCs w:val="31"/>
        </w:rPr>
        <w:t>二、绩效评价工作情况及评价结论</w:t>
      </w:r>
      <w:r>
        <w:rPr>
          <w:rFonts w:ascii="黑体" w:hAnsi="宋体" w:eastAsia="黑体" w:cs="黑体"/>
          <w:color w:val="000000"/>
          <w:kern w:val="0"/>
          <w:sz w:val="31"/>
          <w:szCs w:val="31"/>
        </w:rPr>
        <w:t xml:space="preserve"> </w:t>
      </w:r>
    </w:p>
    <w:p>
      <w:pPr>
        <w:spacing w:line="560" w:lineRule="exact"/>
        <w:ind w:firstLine="778" w:firstLineChars="250"/>
        <w:rPr>
          <w:rFonts w:ascii="楷体" w:hAnsi="楷体" w:eastAsia="楷体" w:cs="楷体"/>
          <w:b/>
          <w:color w:val="000000"/>
          <w:kern w:val="0"/>
          <w:sz w:val="31"/>
          <w:szCs w:val="31"/>
        </w:rPr>
      </w:pPr>
      <w:r>
        <w:rPr>
          <w:rFonts w:hint="eastAsia" w:ascii="楷体" w:hAnsi="楷体" w:eastAsia="楷体" w:cs="楷体"/>
          <w:b/>
          <w:color w:val="000000"/>
          <w:kern w:val="0"/>
          <w:sz w:val="31"/>
          <w:szCs w:val="31"/>
        </w:rPr>
        <w:t>（一）</w:t>
      </w:r>
      <w:r>
        <w:rPr>
          <w:rFonts w:ascii="楷体" w:hAnsi="楷体" w:eastAsia="楷体" w:cs="楷体"/>
          <w:b/>
          <w:color w:val="000000"/>
          <w:kern w:val="0"/>
          <w:sz w:val="31"/>
          <w:szCs w:val="31"/>
        </w:rPr>
        <w:t xml:space="preserve"> </w:t>
      </w:r>
      <w:r>
        <w:rPr>
          <w:rFonts w:hint="eastAsia" w:ascii="楷体" w:hAnsi="楷体" w:eastAsia="楷体" w:cs="楷体"/>
          <w:b/>
          <w:color w:val="000000"/>
          <w:kern w:val="0"/>
          <w:sz w:val="31"/>
          <w:szCs w:val="31"/>
        </w:rPr>
        <w:t>评价范围和目的。</w:t>
      </w:r>
    </w:p>
    <w:p>
      <w:pPr>
        <w:spacing w:line="560" w:lineRule="exact"/>
        <w:ind w:firstLine="775" w:firstLineChars="250"/>
        <w:rPr>
          <w:rFonts w:ascii="仿宋" w:hAnsi="仿宋" w:eastAsia="仿宋" w:cs="仿宋"/>
          <w:color w:val="000000"/>
          <w:kern w:val="0"/>
          <w:sz w:val="31"/>
          <w:szCs w:val="31"/>
        </w:rPr>
      </w:pPr>
      <w:r>
        <w:rPr>
          <w:rFonts w:hint="eastAsia" w:ascii="仿宋" w:hAnsi="仿宋" w:eastAsia="仿宋" w:cs="仿宋"/>
          <w:color w:val="000000"/>
          <w:kern w:val="0"/>
          <w:sz w:val="31"/>
          <w:szCs w:val="31"/>
        </w:rPr>
        <w:t>本次绩效评价对象为：</w:t>
      </w:r>
      <w:r>
        <w:rPr>
          <w:rFonts w:ascii="仿宋" w:hAnsi="仿宋" w:eastAsia="仿宋" w:cs="仿宋"/>
          <w:color w:val="000000"/>
          <w:kern w:val="0"/>
          <w:sz w:val="31"/>
          <w:szCs w:val="31"/>
        </w:rPr>
        <w:t>1.</w:t>
      </w:r>
      <w:r>
        <w:rPr>
          <w:rFonts w:hint="eastAsia" w:ascii="宋体" w:hAnsi="宋体" w:cs="宋体"/>
          <w:color w:val="000000"/>
          <w:spacing w:val="12"/>
          <w:kern w:val="0"/>
          <w:sz w:val="24"/>
        </w:rPr>
        <w:t xml:space="preserve"> </w:t>
      </w:r>
      <w:r>
        <w:rPr>
          <w:rFonts w:hint="eastAsia" w:ascii="仿宋" w:hAnsi="仿宋" w:eastAsia="仿宋" w:cs="仿宋"/>
          <w:color w:val="000000"/>
          <w:kern w:val="0"/>
          <w:sz w:val="31"/>
          <w:szCs w:val="31"/>
        </w:rPr>
        <w:t>人员经费329.7736万元，主要包括：基本工资120.2793万元、津贴补贴102.186万元、奖金11.0727万元、机关事业单位基本养老保险缴费42.2817万元、生活补助5.16万元、奖励金69.9174万元。</w:t>
      </w:r>
      <w:r>
        <w:rPr>
          <w:rFonts w:ascii="仿宋" w:hAnsi="仿宋" w:eastAsia="仿宋" w:cs="仿宋"/>
          <w:color w:val="000000"/>
          <w:kern w:val="0"/>
          <w:sz w:val="31"/>
          <w:szCs w:val="31"/>
        </w:rPr>
        <w:t>2.</w:t>
      </w:r>
      <w:r>
        <w:rPr>
          <w:rFonts w:hint="eastAsia" w:ascii="宋体" w:hAnsi="宋体" w:cs="宋体"/>
          <w:color w:val="000000"/>
          <w:spacing w:val="12"/>
          <w:kern w:val="0"/>
          <w:sz w:val="24"/>
        </w:rPr>
        <w:t xml:space="preserve"> </w:t>
      </w:r>
      <w:r>
        <w:rPr>
          <w:rFonts w:hint="eastAsia" w:ascii="仿宋" w:hAnsi="仿宋" w:eastAsia="仿宋" w:cs="仿宋"/>
          <w:color w:val="000000"/>
          <w:kern w:val="0"/>
          <w:sz w:val="31"/>
          <w:szCs w:val="31"/>
        </w:rPr>
        <w:t>日常公用经费8.0479万元，主要包括：办公费2.4232万元、印刷费0.5449万元、水费0.12万元、电费0.9979万元、邮电费1.6068万元、差旅费1.2371万元、劳务费0.342万元、其他交通费用0.7760万元。</w:t>
      </w:r>
    </w:p>
    <w:p>
      <w:pPr>
        <w:spacing w:line="560" w:lineRule="exact"/>
        <w:ind w:firstLine="620" w:firstLineChars="200"/>
        <w:rPr>
          <w:rFonts w:ascii="仿宋" w:hAnsi="仿宋" w:eastAsia="仿宋" w:cs="仿宋"/>
          <w:color w:val="000000"/>
          <w:kern w:val="0"/>
          <w:sz w:val="31"/>
          <w:szCs w:val="31"/>
        </w:rPr>
      </w:pPr>
      <w:r>
        <w:rPr>
          <w:rFonts w:hint="eastAsia" w:ascii="仿宋" w:hAnsi="仿宋" w:eastAsia="仿宋" w:cs="仿宋"/>
          <w:color w:val="000000"/>
          <w:kern w:val="0"/>
          <w:sz w:val="31"/>
          <w:szCs w:val="31"/>
        </w:rPr>
        <w:t>从项目立项依据、目标、组织实施、预算需求、执行效果等方面入手，对项目的实施情况和实施效果进行全面的分析和评价，重点分析</w:t>
      </w:r>
      <w:r>
        <w:rPr>
          <w:rFonts w:ascii="仿宋" w:hAnsi="仿宋" w:eastAsia="仿宋" w:cs="仿宋"/>
          <w:color w:val="000000"/>
          <w:kern w:val="0"/>
          <w:sz w:val="31"/>
          <w:szCs w:val="31"/>
        </w:rPr>
        <w:t>20</w:t>
      </w:r>
      <w:r>
        <w:rPr>
          <w:rFonts w:hint="eastAsia" w:ascii="仿宋" w:hAnsi="仿宋" w:eastAsia="仿宋" w:cs="仿宋"/>
          <w:color w:val="000000"/>
          <w:kern w:val="0"/>
          <w:sz w:val="31"/>
          <w:szCs w:val="31"/>
        </w:rPr>
        <w:t>20</w:t>
      </w:r>
      <w:r>
        <w:rPr>
          <w:rFonts w:ascii="仿宋" w:hAnsi="仿宋" w:eastAsia="仿宋" w:cs="仿宋"/>
          <w:color w:val="000000"/>
          <w:kern w:val="0"/>
          <w:sz w:val="31"/>
          <w:szCs w:val="31"/>
        </w:rPr>
        <w:t>-20</w:t>
      </w:r>
      <w:r>
        <w:rPr>
          <w:rFonts w:hint="eastAsia" w:ascii="仿宋" w:hAnsi="仿宋" w:eastAsia="仿宋" w:cs="仿宋"/>
          <w:color w:val="000000"/>
          <w:kern w:val="0"/>
          <w:sz w:val="31"/>
          <w:szCs w:val="31"/>
        </w:rPr>
        <w:t>21年项目的实施情况</w:t>
      </w:r>
      <w:r>
        <w:rPr>
          <w:rFonts w:ascii="仿宋" w:hAnsi="仿宋" w:eastAsia="仿宋" w:cs="仿宋"/>
          <w:color w:val="000000"/>
          <w:kern w:val="0"/>
          <w:sz w:val="31"/>
          <w:szCs w:val="31"/>
        </w:rPr>
        <w:t>,</w:t>
      </w:r>
      <w:r>
        <w:rPr>
          <w:rFonts w:hint="eastAsia" w:ascii="仿宋" w:hAnsi="仿宋" w:eastAsia="仿宋" w:cs="仿宋"/>
          <w:color w:val="000000"/>
          <w:kern w:val="0"/>
          <w:sz w:val="31"/>
          <w:szCs w:val="31"/>
        </w:rPr>
        <w:t>涉及金额329.7736万元。通过开展绩效评价工作，对项目管理、完成情况进行全面了解，对中央财政资金的执行情况和实施效果进行分析评价，总结经验及存在的问题，为中央财政资金的安排提供决策依据。</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（二）评价指标体系。</w:t>
      </w:r>
      <w:r>
        <w:rPr>
          <w:rFonts w:hint="eastAsia" w:ascii="仿宋" w:hAnsi="仿宋" w:eastAsia="仿宋" w:cs="仿宋"/>
          <w:color w:val="000000"/>
          <w:kern w:val="0"/>
          <w:sz w:val="31"/>
          <w:szCs w:val="31"/>
        </w:rPr>
        <w:t>主要包括决策、管理、效果三个方面，满分为</w:t>
      </w:r>
      <w:r>
        <w:rPr>
          <w:rFonts w:ascii="仿宋" w:hAnsi="仿宋" w:eastAsia="仿宋" w:cs="仿宋"/>
          <w:color w:val="000000"/>
          <w:kern w:val="0"/>
          <w:sz w:val="31"/>
          <w:szCs w:val="31"/>
        </w:rPr>
        <w:t>100</w:t>
      </w:r>
      <w:r>
        <w:rPr>
          <w:rFonts w:hint="eastAsia" w:ascii="仿宋" w:hAnsi="仿宋" w:eastAsia="仿宋" w:cs="仿宋"/>
          <w:color w:val="000000"/>
          <w:kern w:val="0"/>
          <w:sz w:val="31"/>
          <w:szCs w:val="31"/>
        </w:rPr>
        <w:t>分。</w:t>
      </w:r>
      <w:r>
        <w:rPr>
          <w:rFonts w:hint="eastAsia" w:ascii="仿宋" w:hAnsi="仿宋" w:eastAsia="仿宋" w:cs="仿宋"/>
          <w:b/>
          <w:color w:val="000000"/>
          <w:kern w:val="0"/>
          <w:sz w:val="31"/>
          <w:szCs w:val="31"/>
        </w:rPr>
        <w:t>一是决策（</w:t>
      </w:r>
      <w:r>
        <w:rPr>
          <w:rFonts w:ascii="仿宋" w:hAnsi="仿宋" w:eastAsia="仿宋" w:cs="仿宋"/>
          <w:b/>
          <w:color w:val="000000"/>
          <w:kern w:val="0"/>
          <w:sz w:val="31"/>
          <w:szCs w:val="31"/>
        </w:rPr>
        <w:t>30</w:t>
      </w:r>
      <w:r>
        <w:rPr>
          <w:rFonts w:hint="eastAsia" w:ascii="仿宋" w:hAnsi="仿宋" w:eastAsia="仿宋" w:cs="仿宋"/>
          <w:b/>
          <w:color w:val="000000"/>
          <w:kern w:val="0"/>
          <w:sz w:val="31"/>
          <w:szCs w:val="31"/>
        </w:rPr>
        <w:t>分）。</w:t>
      </w:r>
      <w:r>
        <w:rPr>
          <w:rFonts w:hint="eastAsia" w:ascii="仿宋" w:hAnsi="仿宋" w:eastAsia="仿宋" w:cs="仿宋"/>
          <w:color w:val="000000"/>
          <w:kern w:val="0"/>
          <w:sz w:val="31"/>
          <w:szCs w:val="31"/>
        </w:rPr>
        <w:t>主要评价立项依据充分性、立项程序规范性、绩效目标的明确性、绩效指标的合理性、实施内容的明确性、实施方案的可行性、预算编制合理性等。</w:t>
      </w:r>
      <w:r>
        <w:rPr>
          <w:rFonts w:ascii="仿宋" w:hAnsi="仿宋" w:eastAsia="仿宋" w:cs="仿宋"/>
          <w:color w:val="000000"/>
          <w:kern w:val="0"/>
          <w:sz w:val="31"/>
          <w:szCs w:val="31"/>
        </w:rPr>
        <w:t xml:space="preserve"> </w:t>
      </w:r>
      <w:r>
        <w:rPr>
          <w:rFonts w:hint="eastAsia" w:ascii="仿宋" w:hAnsi="仿宋" w:eastAsia="仿宋" w:cs="仿宋"/>
          <w:b/>
          <w:color w:val="000000"/>
          <w:kern w:val="0"/>
          <w:sz w:val="31"/>
          <w:szCs w:val="31"/>
        </w:rPr>
        <w:t>二是管理（</w:t>
      </w:r>
      <w:r>
        <w:rPr>
          <w:rFonts w:ascii="仿宋" w:hAnsi="仿宋" w:eastAsia="仿宋" w:cs="仿宋"/>
          <w:b/>
          <w:color w:val="000000"/>
          <w:kern w:val="0"/>
          <w:sz w:val="31"/>
          <w:szCs w:val="31"/>
        </w:rPr>
        <w:t>35</w:t>
      </w:r>
      <w:r>
        <w:rPr>
          <w:rFonts w:hint="eastAsia" w:ascii="仿宋" w:hAnsi="仿宋" w:eastAsia="仿宋" w:cs="仿宋"/>
          <w:b/>
          <w:color w:val="000000"/>
          <w:kern w:val="0"/>
          <w:sz w:val="31"/>
          <w:szCs w:val="31"/>
        </w:rPr>
        <w:t>分）。</w:t>
      </w:r>
      <w:r>
        <w:rPr>
          <w:rFonts w:hint="eastAsia" w:ascii="仿宋" w:hAnsi="仿宋" w:eastAsia="仿宋" w:cs="仿宋"/>
          <w:color w:val="000000"/>
          <w:kern w:val="0"/>
          <w:sz w:val="31"/>
          <w:szCs w:val="31"/>
        </w:rPr>
        <w:t>主要评价组织管理健全性、管理制度健全性、制度执行有效性、项目监督执行有效性、资金管理制度的健全性和资金使用规范性等。</w:t>
      </w:r>
      <w:r>
        <w:rPr>
          <w:rFonts w:hint="eastAsia" w:ascii="仿宋" w:hAnsi="仿宋" w:eastAsia="仿宋" w:cs="仿宋"/>
          <w:b/>
          <w:color w:val="000000"/>
          <w:kern w:val="0"/>
          <w:sz w:val="31"/>
          <w:szCs w:val="31"/>
        </w:rPr>
        <w:t>三是效果（</w:t>
      </w:r>
      <w:r>
        <w:rPr>
          <w:rFonts w:ascii="仿宋" w:hAnsi="仿宋" w:eastAsia="仿宋" w:cs="仿宋"/>
          <w:b/>
          <w:color w:val="000000"/>
          <w:kern w:val="0"/>
          <w:sz w:val="31"/>
          <w:szCs w:val="31"/>
        </w:rPr>
        <w:t>35</w:t>
      </w:r>
      <w:r>
        <w:rPr>
          <w:rFonts w:hint="eastAsia" w:ascii="仿宋" w:hAnsi="仿宋" w:eastAsia="仿宋" w:cs="仿宋"/>
          <w:b/>
          <w:color w:val="000000"/>
          <w:kern w:val="0"/>
          <w:sz w:val="31"/>
          <w:szCs w:val="31"/>
        </w:rPr>
        <w:t>分）。</w:t>
      </w:r>
      <w:r>
        <w:rPr>
          <w:rFonts w:hint="eastAsia" w:ascii="仿宋" w:hAnsi="仿宋" w:eastAsia="仿宋" w:cs="仿宋"/>
          <w:color w:val="000000"/>
          <w:kern w:val="0"/>
          <w:sz w:val="31"/>
          <w:szCs w:val="31"/>
        </w:rPr>
        <w:t>主要评价项目内容的可持续性、规划与制度的长期指导性等情况。</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（三）评价方法及实施。</w:t>
      </w:r>
      <w:r>
        <w:rPr>
          <w:rFonts w:hint="eastAsia" w:ascii="仿宋" w:hAnsi="仿宋" w:eastAsia="仿宋" w:cs="仿宋"/>
          <w:color w:val="000000"/>
          <w:kern w:val="0"/>
          <w:sz w:val="31"/>
          <w:szCs w:val="31"/>
        </w:rPr>
        <w:t>鉴于本次绩效评价是对人员经费、公用经费等项目实施以来，特别是</w:t>
      </w:r>
      <w:r>
        <w:rPr>
          <w:rFonts w:ascii="宋体" w:hAnsi="宋体" w:cs="宋体"/>
          <w:color w:val="000000"/>
          <w:kern w:val="0"/>
          <w:sz w:val="31"/>
          <w:szCs w:val="31"/>
        </w:rPr>
        <w:t>20</w:t>
      </w:r>
      <w:r>
        <w:rPr>
          <w:rFonts w:hint="eastAsia" w:ascii="宋体" w:hAnsi="宋体" w:cs="宋体"/>
          <w:color w:val="000000"/>
          <w:kern w:val="0"/>
          <w:sz w:val="31"/>
          <w:szCs w:val="31"/>
        </w:rPr>
        <w:t>20</w:t>
      </w:r>
      <w:r>
        <w:rPr>
          <w:rFonts w:ascii="宋体" w:hAnsi="宋体" w:cs="宋体"/>
          <w:color w:val="000000"/>
          <w:kern w:val="0"/>
          <w:sz w:val="31"/>
          <w:szCs w:val="31"/>
        </w:rPr>
        <w:t>-20</w:t>
      </w:r>
      <w:r>
        <w:rPr>
          <w:rFonts w:hint="eastAsia" w:ascii="宋体" w:hAnsi="宋体" w:cs="宋体"/>
          <w:color w:val="000000"/>
          <w:kern w:val="0"/>
          <w:sz w:val="31"/>
          <w:szCs w:val="31"/>
        </w:rPr>
        <w:t>21</w:t>
      </w:r>
      <w:r>
        <w:rPr>
          <w:rFonts w:hint="eastAsia" w:ascii="仿宋" w:hAnsi="仿宋" w:eastAsia="仿宋" w:cs="仿宋"/>
          <w:color w:val="000000"/>
          <w:kern w:val="0"/>
          <w:sz w:val="31"/>
          <w:szCs w:val="31"/>
        </w:rPr>
        <w:t>年的实施情况进行系统评价，时间跨度大、涉及子项目多，评价坚持“以规划为引领、</w:t>
      </w: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以问题为导向、坚持系统评价”的总体工作思路，运用因素分析法、比较法等方法开展工作。综合现场评价结论和非现场评价意见，对项目进行综合评价，形成总体评价结论。</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（四）评价结论。</w:t>
      </w:r>
      <w:r>
        <w:rPr>
          <w:rFonts w:hint="eastAsia" w:ascii="仿宋" w:hAnsi="仿宋" w:eastAsia="仿宋" w:cs="仿宋"/>
          <w:color w:val="000000"/>
          <w:kern w:val="0"/>
          <w:sz w:val="31"/>
          <w:szCs w:val="31"/>
        </w:rPr>
        <w:t>该项目绩效评价得分为</w:t>
      </w:r>
      <w:r>
        <w:rPr>
          <w:rFonts w:ascii="宋体" w:hAnsi="宋体" w:cs="宋体"/>
          <w:color w:val="000000"/>
          <w:kern w:val="0"/>
          <w:sz w:val="31"/>
          <w:szCs w:val="31"/>
        </w:rPr>
        <w:t>95</w:t>
      </w:r>
      <w:r>
        <w:rPr>
          <w:rFonts w:hint="eastAsia" w:ascii="仿宋" w:hAnsi="仿宋" w:eastAsia="仿宋" w:cs="仿宋"/>
          <w:color w:val="000000"/>
          <w:kern w:val="0"/>
          <w:sz w:val="31"/>
          <w:szCs w:val="31"/>
        </w:rPr>
        <w:t>分，综合评价等级为“良”。评价认为，近年实施内容存在预算编制不够合理、项目管理不够规范、《总体规划》任务未完全按预期及时实施等问题。</w:t>
      </w:r>
      <w:r>
        <w:rPr>
          <w:rFonts w:ascii="仿宋" w:hAnsi="仿宋" w:eastAsia="仿宋" w:cs="仿宋"/>
          <w:color w:val="000000"/>
          <w:kern w:val="0"/>
          <w:sz w:val="31"/>
          <w:szCs w:val="31"/>
        </w:rPr>
        <w:t xml:space="preserve"> </w:t>
      </w:r>
    </w:p>
    <w:p>
      <w:pPr>
        <w:widowControl/>
        <w:ind w:firstLine="620" w:firstLineChars="200"/>
        <w:jc w:val="left"/>
      </w:pPr>
      <w:r>
        <w:rPr>
          <w:rFonts w:hint="eastAsia" w:ascii="黑体" w:hAnsi="宋体" w:eastAsia="黑体" w:cs="黑体"/>
          <w:color w:val="000000"/>
          <w:kern w:val="0"/>
          <w:sz w:val="31"/>
          <w:szCs w:val="31"/>
        </w:rPr>
        <w:t>三、绩效评价指标完成情况</w:t>
      </w:r>
      <w:r>
        <w:rPr>
          <w:rFonts w:ascii="黑体" w:hAnsi="宋体" w:eastAsia="黑体" w:cs="黑体"/>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（一）决策指标分析。</w:t>
      </w:r>
      <w:r>
        <w:rPr>
          <w:rFonts w:hint="eastAsia" w:ascii="仿宋" w:hAnsi="仿宋" w:eastAsia="仿宋" w:cs="仿宋"/>
          <w:color w:val="000000"/>
          <w:kern w:val="0"/>
          <w:sz w:val="31"/>
          <w:szCs w:val="31"/>
        </w:rPr>
        <w:t>这些指标分值</w:t>
      </w:r>
      <w:r>
        <w:rPr>
          <w:rFonts w:ascii="仿宋" w:hAnsi="仿宋" w:eastAsia="仿宋" w:cs="仿宋"/>
          <w:color w:val="000000"/>
          <w:kern w:val="0"/>
          <w:sz w:val="31"/>
          <w:szCs w:val="31"/>
        </w:rPr>
        <w:t>20</w:t>
      </w:r>
      <w:r>
        <w:rPr>
          <w:rFonts w:hint="eastAsia" w:ascii="仿宋" w:hAnsi="仿宋" w:eastAsia="仿宋" w:cs="仿宋"/>
          <w:color w:val="000000"/>
          <w:kern w:val="0"/>
          <w:sz w:val="31"/>
          <w:szCs w:val="31"/>
        </w:rPr>
        <w:t>分，评价得分</w:t>
      </w:r>
      <w:r>
        <w:rPr>
          <w:rFonts w:ascii="仿宋" w:hAnsi="仿宋" w:eastAsia="仿宋" w:cs="仿宋"/>
          <w:color w:val="000000"/>
          <w:kern w:val="0"/>
          <w:sz w:val="31"/>
          <w:szCs w:val="31"/>
        </w:rPr>
        <w:t>18</w:t>
      </w:r>
      <w:r>
        <w:rPr>
          <w:rFonts w:hint="eastAsia" w:ascii="仿宋" w:hAnsi="仿宋" w:eastAsia="仿宋" w:cs="仿宋"/>
          <w:color w:val="000000"/>
          <w:kern w:val="0"/>
          <w:sz w:val="31"/>
          <w:szCs w:val="31"/>
        </w:rPr>
        <w:t>分。该项目立项符合国家相关政策、《规划大纲》和《总体规划》；立项程序规范，项目绩效目标明确；绩效指标较全面，但过于笼统且个别指标设置前后口径不一致；项目实施内容与年度计划基本匹配，但部分内容与其他项目交叉或重复，实施内容中列入了部分不属于《总体规划》范围及保护的项目；预算编制不够合理。</w:t>
      </w:r>
      <w:r>
        <w:rPr>
          <w:rFonts w:ascii="仿宋" w:hAnsi="仿宋" w:eastAsia="仿宋" w:cs="仿宋"/>
          <w:color w:val="000000"/>
          <w:kern w:val="0"/>
          <w:sz w:val="31"/>
          <w:szCs w:val="31"/>
        </w:rPr>
        <w:t xml:space="preserve"> </w:t>
      </w:r>
    </w:p>
    <w:p>
      <w:pPr>
        <w:widowControl/>
        <w:ind w:firstLine="622" w:firstLineChars="200"/>
        <w:jc w:val="left"/>
      </w:pPr>
      <w:r>
        <w:rPr>
          <w:rFonts w:ascii="楷体" w:hAnsi="楷体" w:eastAsia="楷体" w:cs="楷体"/>
          <w:b/>
          <w:color w:val="000000"/>
          <w:kern w:val="0"/>
          <w:sz w:val="31"/>
          <w:szCs w:val="31"/>
        </w:rPr>
        <w:t>(</w:t>
      </w:r>
      <w:r>
        <w:rPr>
          <w:rFonts w:hint="eastAsia" w:ascii="楷体" w:hAnsi="楷体" w:eastAsia="楷体" w:cs="楷体"/>
          <w:b/>
          <w:color w:val="000000"/>
          <w:kern w:val="0"/>
          <w:sz w:val="31"/>
          <w:szCs w:val="31"/>
        </w:rPr>
        <w:t>二）管理指标分析。</w:t>
      </w:r>
      <w:r>
        <w:rPr>
          <w:rFonts w:hint="eastAsia" w:ascii="仿宋" w:hAnsi="仿宋" w:eastAsia="仿宋" w:cs="仿宋"/>
          <w:color w:val="000000"/>
          <w:kern w:val="0"/>
          <w:sz w:val="31"/>
          <w:szCs w:val="31"/>
        </w:rPr>
        <w:t>该指标分值</w:t>
      </w:r>
      <w:r>
        <w:rPr>
          <w:rFonts w:ascii="仿宋" w:hAnsi="仿宋" w:eastAsia="仿宋" w:cs="仿宋"/>
          <w:color w:val="000000"/>
          <w:kern w:val="0"/>
          <w:sz w:val="31"/>
          <w:szCs w:val="31"/>
        </w:rPr>
        <w:t>30</w:t>
      </w:r>
      <w:r>
        <w:rPr>
          <w:rFonts w:hint="eastAsia" w:ascii="仿宋" w:hAnsi="仿宋" w:eastAsia="仿宋" w:cs="仿宋"/>
          <w:color w:val="000000"/>
          <w:kern w:val="0"/>
          <w:sz w:val="31"/>
          <w:szCs w:val="31"/>
        </w:rPr>
        <w:t>分，评价得分</w:t>
      </w:r>
      <w:r>
        <w:rPr>
          <w:rFonts w:ascii="仿宋" w:hAnsi="仿宋" w:eastAsia="仿宋" w:cs="仿宋"/>
          <w:color w:val="000000"/>
          <w:kern w:val="0"/>
          <w:sz w:val="31"/>
          <w:szCs w:val="31"/>
        </w:rPr>
        <w:t>28</w:t>
      </w:r>
      <w:r>
        <w:rPr>
          <w:rFonts w:hint="eastAsia" w:ascii="仿宋" w:hAnsi="仿宋" w:eastAsia="仿宋" w:cs="仿宋"/>
          <w:color w:val="000000"/>
          <w:kern w:val="0"/>
          <w:sz w:val="31"/>
          <w:szCs w:val="31"/>
        </w:rPr>
        <w:t>分。该项目业务管理制度和资金管理制度基本健全；项目实施程序和流程基本符合相关法律法规、部门相关制度，项目实施过程中履行了相关程序，但评价发现结算管理、资料归档等方面存在不够规范的地方；预算执行率较好，但资金使用和项目核算方面不够规范，项目管理及监督执行机制有待进一步完善。</w:t>
      </w:r>
    </w:p>
    <w:p>
      <w:pPr>
        <w:widowControl/>
        <w:ind w:firstLine="622" w:firstLineChars="200"/>
        <w:jc w:val="left"/>
      </w:pPr>
      <w:r>
        <w:rPr>
          <w:rFonts w:hint="eastAsia" w:ascii="楷体" w:hAnsi="楷体" w:eastAsia="楷体" w:cs="楷体"/>
          <w:b/>
          <w:color w:val="000000"/>
          <w:kern w:val="0"/>
          <w:sz w:val="31"/>
          <w:szCs w:val="31"/>
        </w:rPr>
        <w:t>（三）效果指标分析。</w:t>
      </w:r>
      <w:r>
        <w:rPr>
          <w:rFonts w:hint="eastAsia" w:ascii="仿宋" w:hAnsi="仿宋" w:eastAsia="仿宋" w:cs="仿宋"/>
          <w:color w:val="000000"/>
          <w:kern w:val="0"/>
          <w:sz w:val="31"/>
          <w:szCs w:val="31"/>
        </w:rPr>
        <w:t>该指标分值</w:t>
      </w:r>
      <w:r>
        <w:rPr>
          <w:rFonts w:ascii="仿宋" w:hAnsi="仿宋" w:eastAsia="仿宋" w:cs="仿宋"/>
          <w:color w:val="000000"/>
          <w:kern w:val="0"/>
          <w:sz w:val="31"/>
          <w:szCs w:val="31"/>
        </w:rPr>
        <w:t>35</w:t>
      </w:r>
      <w:r>
        <w:rPr>
          <w:rFonts w:hint="eastAsia" w:ascii="仿宋" w:hAnsi="仿宋" w:eastAsia="仿宋" w:cs="仿宋"/>
          <w:color w:val="000000"/>
          <w:kern w:val="0"/>
          <w:sz w:val="31"/>
          <w:szCs w:val="31"/>
        </w:rPr>
        <w:t>分，评价得分</w:t>
      </w:r>
      <w:r>
        <w:rPr>
          <w:rFonts w:ascii="仿宋" w:hAnsi="仿宋" w:eastAsia="仿宋" w:cs="仿宋"/>
          <w:color w:val="000000"/>
          <w:kern w:val="0"/>
          <w:sz w:val="31"/>
          <w:szCs w:val="31"/>
        </w:rPr>
        <w:t>33</w:t>
      </w:r>
      <w:r>
        <w:rPr>
          <w:rFonts w:hint="eastAsia" w:ascii="仿宋" w:hAnsi="仿宋" w:eastAsia="仿宋" w:cs="仿宋"/>
          <w:color w:val="000000"/>
          <w:kern w:val="0"/>
          <w:sz w:val="31"/>
          <w:szCs w:val="31"/>
        </w:rPr>
        <w:t>分。项目年度目标完成情况较好。但需要指出的是</w:t>
      </w:r>
      <w:r>
        <w:rPr>
          <w:rFonts w:ascii="仿宋" w:hAnsi="仿宋" w:eastAsia="仿宋" w:cs="仿宋"/>
          <w:color w:val="000000"/>
          <w:kern w:val="0"/>
          <w:sz w:val="31"/>
          <w:szCs w:val="31"/>
        </w:rPr>
        <w:t>,</w:t>
      </w:r>
      <w:r>
        <w:rPr>
          <w:rFonts w:hint="eastAsia" w:ascii="仿宋" w:hAnsi="仿宋" w:eastAsia="仿宋" w:cs="仿宋"/>
          <w:color w:val="000000"/>
          <w:kern w:val="0"/>
          <w:sz w:val="31"/>
          <w:szCs w:val="31"/>
        </w:rPr>
        <w:t>项目实施与《总体规划》存在一定偏差，部分项目实施滞后。</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（四）效果指标分析。</w:t>
      </w:r>
      <w:r>
        <w:rPr>
          <w:rFonts w:hint="eastAsia" w:ascii="仿宋" w:hAnsi="仿宋" w:eastAsia="仿宋" w:cs="仿宋"/>
          <w:color w:val="000000"/>
          <w:kern w:val="0"/>
          <w:sz w:val="31"/>
          <w:szCs w:val="31"/>
        </w:rPr>
        <w:t>该指标分值</w:t>
      </w:r>
      <w:r>
        <w:rPr>
          <w:rFonts w:ascii="仿宋" w:hAnsi="仿宋" w:eastAsia="仿宋" w:cs="仿宋"/>
          <w:color w:val="000000"/>
          <w:kern w:val="0"/>
          <w:sz w:val="31"/>
          <w:szCs w:val="31"/>
        </w:rPr>
        <w:t>35</w:t>
      </w:r>
      <w:r>
        <w:rPr>
          <w:rFonts w:hint="eastAsia" w:ascii="仿宋" w:hAnsi="仿宋" w:eastAsia="仿宋" w:cs="仿宋"/>
          <w:color w:val="000000"/>
          <w:kern w:val="0"/>
          <w:sz w:val="31"/>
          <w:szCs w:val="31"/>
        </w:rPr>
        <w:t>分，评价得分</w:t>
      </w:r>
      <w:r>
        <w:rPr>
          <w:rFonts w:ascii="仿宋" w:hAnsi="仿宋" w:eastAsia="仿宋" w:cs="仿宋"/>
          <w:color w:val="000000"/>
          <w:kern w:val="0"/>
          <w:sz w:val="31"/>
          <w:szCs w:val="31"/>
        </w:rPr>
        <w:t>34</w:t>
      </w:r>
      <w:r>
        <w:rPr>
          <w:rFonts w:hint="eastAsia" w:ascii="仿宋" w:hAnsi="仿宋" w:eastAsia="仿宋" w:cs="仿宋"/>
          <w:color w:val="000000"/>
          <w:kern w:val="0"/>
          <w:sz w:val="31"/>
          <w:szCs w:val="31"/>
        </w:rPr>
        <w:t>分。最大限度地保保证了机关大楼和各单位有序运行。</w:t>
      </w:r>
      <w:r>
        <w:rPr>
          <w:rFonts w:ascii="仿宋" w:hAnsi="仿宋" w:eastAsia="仿宋" w:cs="仿宋"/>
          <w:color w:val="000000"/>
          <w:kern w:val="0"/>
          <w:sz w:val="31"/>
          <w:szCs w:val="31"/>
        </w:rPr>
        <w:t xml:space="preserve"> </w:t>
      </w:r>
    </w:p>
    <w:p>
      <w:pPr>
        <w:widowControl/>
        <w:ind w:firstLine="620" w:firstLineChars="200"/>
        <w:jc w:val="left"/>
      </w:pPr>
      <w:r>
        <w:rPr>
          <w:rFonts w:hint="eastAsia" w:ascii="黑体" w:hAnsi="宋体" w:eastAsia="黑体" w:cs="黑体"/>
          <w:color w:val="000000"/>
          <w:kern w:val="0"/>
          <w:sz w:val="31"/>
          <w:szCs w:val="31"/>
        </w:rPr>
        <w:t>四、发现的主要问题及原因</w:t>
      </w:r>
      <w:r>
        <w:rPr>
          <w:rFonts w:ascii="黑体" w:hAnsi="宋体" w:eastAsia="黑体" w:cs="黑体"/>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（一）项目设置的分类标准不够科学规范，项目实施内容、</w:t>
      </w:r>
      <w:r>
        <w:rPr>
          <w:rFonts w:ascii="楷体" w:hAnsi="楷体" w:eastAsia="楷体" w:cs="楷体"/>
          <w:b/>
          <w:color w:val="000000"/>
          <w:kern w:val="0"/>
          <w:sz w:val="31"/>
          <w:szCs w:val="31"/>
        </w:rPr>
        <w:t xml:space="preserve"> </w:t>
      </w:r>
      <w:r>
        <w:rPr>
          <w:rFonts w:hint="eastAsia" w:ascii="楷体" w:hAnsi="楷体" w:eastAsia="楷体" w:cs="楷体"/>
          <w:b/>
          <w:color w:val="000000"/>
          <w:kern w:val="0"/>
          <w:sz w:val="31"/>
          <w:szCs w:val="31"/>
        </w:rPr>
        <w:t>支出范围界定不够明确。</w:t>
      </w:r>
      <w:r>
        <w:rPr>
          <w:rFonts w:hint="eastAsia" w:ascii="仿宋" w:hAnsi="仿宋" w:eastAsia="仿宋" w:cs="仿宋"/>
          <w:color w:val="000000"/>
          <w:kern w:val="0"/>
          <w:sz w:val="31"/>
          <w:szCs w:val="31"/>
        </w:rPr>
        <w:t>该项目与中央部门项目支出预算管理中项目分级分类设置和管理要求不符，不利于项目绩效管理，影响财政资金使用效益。</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（二）项目实施管理不够规范，缺少有效的监督考核机制和措施。</w:t>
      </w:r>
      <w:r>
        <w:rPr>
          <w:rFonts w:hint="eastAsia" w:ascii="仿宋" w:hAnsi="仿宋" w:eastAsia="仿宋" w:cs="仿宋"/>
          <w:color w:val="000000"/>
          <w:kern w:val="0"/>
          <w:sz w:val="31"/>
          <w:szCs w:val="31"/>
        </w:rPr>
        <w:t>在项目组织管理健全性、制度建设及执行有效性、资金管理及使用等方面均存在不完善、不规范情况，缺少有效的监督考核机制和措施</w:t>
      </w:r>
      <w:r>
        <w:rPr>
          <w:rFonts w:ascii="仿宋" w:hAnsi="仿宋" w:eastAsia="仿宋" w:cs="仿宋"/>
          <w:color w:val="000000"/>
          <w:kern w:val="0"/>
          <w:sz w:val="31"/>
          <w:szCs w:val="31"/>
        </w:rPr>
        <w:t>,</w:t>
      </w:r>
      <w:r>
        <w:rPr>
          <w:rFonts w:hint="eastAsia" w:ascii="仿宋" w:hAnsi="仿宋" w:eastAsia="仿宋" w:cs="仿宋"/>
          <w:color w:val="000000"/>
          <w:kern w:val="0"/>
          <w:sz w:val="31"/>
          <w:szCs w:val="31"/>
        </w:rPr>
        <w:t>导致一些不规范的情况发生。</w:t>
      </w:r>
      <w:r>
        <w:rPr>
          <w:rFonts w:ascii="仿宋" w:hAnsi="仿宋" w:eastAsia="仿宋" w:cs="仿宋"/>
          <w:color w:val="000000"/>
          <w:kern w:val="0"/>
          <w:sz w:val="31"/>
          <w:szCs w:val="31"/>
        </w:rPr>
        <w:t xml:space="preserve"> </w:t>
      </w:r>
    </w:p>
    <w:p>
      <w:pPr>
        <w:widowControl/>
        <w:ind w:firstLine="620" w:firstLineChars="200"/>
        <w:jc w:val="left"/>
      </w:pPr>
      <w:r>
        <w:rPr>
          <w:rFonts w:hint="eastAsia" w:ascii="黑体" w:hAnsi="宋体" w:eastAsia="黑体" w:cs="黑体"/>
          <w:color w:val="000000"/>
          <w:kern w:val="0"/>
          <w:sz w:val="31"/>
          <w:szCs w:val="31"/>
        </w:rPr>
        <w:t>五、相关建议</w:t>
      </w:r>
      <w:r>
        <w:rPr>
          <w:rFonts w:ascii="黑体" w:hAnsi="宋体" w:eastAsia="黑体" w:cs="黑体"/>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（一）重新明确项目定位，优化项目结构。</w:t>
      </w:r>
      <w:r>
        <w:rPr>
          <w:rFonts w:hint="eastAsia" w:ascii="仿宋" w:hAnsi="仿宋" w:eastAsia="仿宋" w:cs="仿宋"/>
          <w:color w:val="000000"/>
          <w:kern w:val="0"/>
          <w:sz w:val="31"/>
          <w:szCs w:val="31"/>
        </w:rPr>
        <w:t>建议项目单位及主管部门根据现状和实际需求，对项目重新定位</w:t>
      </w:r>
      <w:r>
        <w:rPr>
          <w:rFonts w:ascii="仿宋" w:hAnsi="仿宋" w:eastAsia="仿宋" w:cs="仿宋"/>
          <w:color w:val="000000"/>
          <w:kern w:val="0"/>
          <w:sz w:val="31"/>
          <w:szCs w:val="31"/>
        </w:rPr>
        <w:t xml:space="preserve">, </w:t>
      </w:r>
      <w:r>
        <w:rPr>
          <w:rFonts w:hint="eastAsia" w:ascii="仿宋" w:hAnsi="仿宋" w:eastAsia="仿宋" w:cs="仿宋"/>
          <w:color w:val="000000"/>
          <w:kern w:val="0"/>
          <w:sz w:val="31"/>
          <w:szCs w:val="31"/>
        </w:rPr>
        <w:t>重新梳理项目内容，调整预算结构，确定预算规模，明晰各自的实施内容、支出范围及资金渠道，便于规范项目管理，更好地保障机关运行。</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（二）实行规划管理，落实规划的引领指导作用。</w:t>
      </w:r>
      <w:r>
        <w:rPr>
          <w:rFonts w:hint="eastAsia" w:ascii="仿宋" w:hAnsi="仿宋" w:eastAsia="仿宋" w:cs="仿宋"/>
          <w:b/>
          <w:color w:val="000000"/>
          <w:kern w:val="0"/>
          <w:sz w:val="31"/>
          <w:szCs w:val="31"/>
        </w:rPr>
        <w:t>一是</w:t>
      </w:r>
      <w:r>
        <w:rPr>
          <w:rFonts w:hint="eastAsia" w:ascii="仿宋" w:hAnsi="仿宋" w:eastAsia="仿宋" w:cs="仿宋"/>
          <w:color w:val="000000"/>
          <w:kern w:val="0"/>
          <w:sz w:val="31"/>
          <w:szCs w:val="31"/>
        </w:rPr>
        <w:t>完善项目生成机制，将部门、行业发展规划落实到具体项目，提高规划的可实施性。部门、行业规划确定的项目要与实际需求相衔接，合理安排项目实施节奏和力度，促进规划与预算相结合，提高预算的前瞻性。</w:t>
      </w:r>
      <w:r>
        <w:rPr>
          <w:rFonts w:hint="eastAsia" w:ascii="仿宋" w:hAnsi="仿宋" w:eastAsia="仿宋" w:cs="仿宋"/>
          <w:b/>
          <w:color w:val="000000"/>
          <w:kern w:val="0"/>
          <w:sz w:val="31"/>
          <w:szCs w:val="31"/>
        </w:rPr>
        <w:t>二是</w:t>
      </w:r>
      <w:r>
        <w:rPr>
          <w:rFonts w:hint="eastAsia" w:ascii="仿宋" w:hAnsi="仿宋" w:eastAsia="仿宋" w:cs="仿宋"/>
          <w:color w:val="000000"/>
          <w:kern w:val="0"/>
          <w:sz w:val="31"/>
          <w:szCs w:val="31"/>
        </w:rPr>
        <w:t>尽快落实《总体规划》要求，指导和规范日常保养、保护修缮、研究性保护项目的实施。</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（三）完善项目设置规则，有效避免交叉重复。</w:t>
      </w:r>
      <w:r>
        <w:rPr>
          <w:rFonts w:hint="eastAsia" w:ascii="仿宋" w:hAnsi="仿宋" w:eastAsia="仿宋" w:cs="仿宋"/>
          <w:color w:val="000000"/>
          <w:kern w:val="0"/>
          <w:sz w:val="31"/>
          <w:szCs w:val="31"/>
        </w:rPr>
        <w:t>建议项目单位及其主管部门严格按照中央部门项目支出预算管理要求，对现有二级项目进行全面梳理，聚焦重点，科学分类，厘清项目边界，进而规范项目预算申报和项目核算，避免交叉重复，提高资金的使用效益。</w:t>
      </w:r>
      <w:r>
        <w:rPr>
          <w:rFonts w:ascii="仿宋" w:hAnsi="仿宋" w:eastAsia="仿宋" w:cs="仿宋"/>
          <w:color w:val="000000"/>
          <w:kern w:val="0"/>
          <w:sz w:val="31"/>
          <w:szCs w:val="31"/>
        </w:rPr>
        <w:t xml:space="preserve"> </w:t>
      </w:r>
    </w:p>
    <w:p>
      <w:pPr>
        <w:widowControl/>
        <w:ind w:firstLine="622" w:firstLineChars="200"/>
        <w:jc w:val="left"/>
      </w:pPr>
      <w:r>
        <w:rPr>
          <w:rFonts w:hint="eastAsia" w:ascii="楷体" w:hAnsi="楷体" w:eastAsia="楷体" w:cs="楷体"/>
          <w:b/>
          <w:color w:val="000000"/>
          <w:kern w:val="0"/>
          <w:sz w:val="31"/>
          <w:szCs w:val="31"/>
        </w:rPr>
        <w:t>（四）进一步加强和规范项目管理。</w:t>
      </w:r>
      <w:r>
        <w:rPr>
          <w:rFonts w:hint="eastAsia" w:ascii="仿宋" w:hAnsi="仿宋" w:eastAsia="仿宋" w:cs="仿宋"/>
          <w:color w:val="000000"/>
          <w:kern w:val="0"/>
          <w:sz w:val="31"/>
          <w:szCs w:val="31"/>
        </w:rPr>
        <w:t>健全和完善相关管理制度，建立有效的监督考核机制，为规范项目管理和资金使用保驾护航。同时，严格执行相关建设程序和管理制度，规范项目各环节管理和实施。</w:t>
      </w:r>
      <w:r>
        <w:rPr>
          <w:rFonts w:ascii="仿宋" w:hAnsi="仿宋" w:eastAsia="仿宋" w:cs="仿宋"/>
          <w:color w:val="000000"/>
          <w:kern w:val="0"/>
          <w:sz w:val="31"/>
          <w:szCs w:val="31"/>
        </w:rPr>
        <w:t xml:space="preserve"> </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path/>
          <v:fill on="f" focussize="0,0"/>
          <v:stroke on="f" weight="0.5pt" joinstyle="miter"/>
          <v:imagedata o:title=""/>
          <o:lock v:ext="edit"/>
          <v:textbox inset="0mm,0mm,0mm,0mm">
            <w:txbxContent>
              <w:p>
                <w:pPr>
                  <w:pStyle w:val="2"/>
                  <w:rPr>
                    <w:rFonts w:asciiTheme="minorEastAsia" w:hAnsiTheme="minorEastAsia" w:cstheme="minorEastAsia"/>
                    <w:sz w:val="28"/>
                    <w:szCs w:val="44"/>
                  </w:rPr>
                </w:pPr>
                <w:r>
                  <w:rPr>
                    <w:rFonts w:hint="eastAsia" w:asciiTheme="minorEastAsia" w:hAnsiTheme="minorEastAsia" w:cstheme="minorEastAsia"/>
                    <w:sz w:val="28"/>
                    <w:szCs w:val="44"/>
                  </w:rPr>
                  <w:fldChar w:fldCharType="begin"/>
                </w:r>
                <w:r>
                  <w:rPr>
                    <w:rFonts w:hint="eastAsia" w:asciiTheme="minorEastAsia" w:hAnsiTheme="minorEastAsia" w:cstheme="minorEastAsia"/>
                    <w:sz w:val="28"/>
                    <w:szCs w:val="44"/>
                  </w:rPr>
                  <w:instrText xml:space="preserve"> PAGE  \* MERGEFORMAT </w:instrText>
                </w:r>
                <w:r>
                  <w:rPr>
                    <w:rFonts w:hint="eastAsia" w:asciiTheme="minorEastAsia" w:hAnsiTheme="minorEastAsia" w:cstheme="minorEastAsia"/>
                    <w:sz w:val="28"/>
                    <w:szCs w:val="44"/>
                  </w:rPr>
                  <w:fldChar w:fldCharType="separate"/>
                </w:r>
                <w:r>
                  <w:rPr>
                    <w:rFonts w:asciiTheme="minorEastAsia" w:hAnsiTheme="minorEastAsia" w:cstheme="minorEastAsia"/>
                    <w:sz w:val="28"/>
                    <w:szCs w:val="44"/>
                  </w:rPr>
                  <w:t>- 8 -</w:t>
                </w:r>
                <w:r>
                  <w:rPr>
                    <w:rFonts w:hint="eastAsia" w:asciiTheme="minorEastAsia" w:hAnsiTheme="minorEastAsia" w:cstheme="minorEastAsia"/>
                    <w:sz w:val="28"/>
                    <w:szCs w:val="4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VkNmY4ZTkxMmVjOGJiN2Y5OGEwOWMyNmMxZTI4OTUifQ=="/>
  </w:docVars>
  <w:rsids>
    <w:rsidRoot w:val="1C6445D8"/>
    <w:rsid w:val="0006307E"/>
    <w:rsid w:val="002441DD"/>
    <w:rsid w:val="003B5B74"/>
    <w:rsid w:val="004B0E7F"/>
    <w:rsid w:val="00537092"/>
    <w:rsid w:val="008260BF"/>
    <w:rsid w:val="00A11491"/>
    <w:rsid w:val="07971371"/>
    <w:rsid w:val="08F932CB"/>
    <w:rsid w:val="135A439C"/>
    <w:rsid w:val="19C40F83"/>
    <w:rsid w:val="1C6445D8"/>
    <w:rsid w:val="29D75149"/>
    <w:rsid w:val="31952658"/>
    <w:rsid w:val="51811F9F"/>
    <w:rsid w:val="5DF20F14"/>
    <w:rsid w:val="6915108D"/>
    <w:rsid w:val="70C20053"/>
    <w:rsid w:val="7855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571</Words>
  <Characters>3258</Characters>
  <Lines>27</Lines>
  <Paragraphs>7</Paragraphs>
  <TotalTime>41</TotalTime>
  <ScaleCrop>false</ScaleCrop>
  <LinksUpToDate>false</LinksUpToDate>
  <CharactersWithSpaces>3822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茶靡1415593588</cp:lastModifiedBy>
  <cp:lastPrinted>2019-09-10T03:22:00Z</cp:lastPrinted>
  <dcterms:modified xsi:type="dcterms:W3CDTF">2023-09-04T03:02:31Z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F9A16AE4B7CF4F948D24C9A3195AA035</vt:lpwstr>
  </property>
</Properties>
</file>